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B46DD" w14:textId="632233D9" w:rsidR="2EB43415" w:rsidRPr="00113EBE" w:rsidRDefault="001562D2" w:rsidP="4768404C">
      <w:pPr>
        <w:jc w:val="center"/>
        <w:rPr>
          <w:lang w:val="fr-CA"/>
        </w:rPr>
      </w:pPr>
      <w:bookmarkStart w:id="0" w:name="lt_pId000"/>
      <w:r>
        <w:rPr>
          <w:rFonts w:ascii="Calibri" w:eastAsia="Calibri" w:hAnsi="Calibri" w:cs="Calibri"/>
          <w:b/>
          <w:bCs/>
          <w:sz w:val="32"/>
          <w:szCs w:val="32"/>
          <w:u w:val="single"/>
          <w:lang w:val="fr-CA"/>
        </w:rPr>
        <w:t xml:space="preserve">Communication sur la </w:t>
      </w:r>
      <w:r w:rsidRPr="000C7BFC">
        <w:rPr>
          <w:rFonts w:ascii="Calibri" w:eastAsia="Calibri" w:hAnsi="Calibri" w:cs="Calibri"/>
          <w:b/>
          <w:bCs/>
          <w:sz w:val="32"/>
          <w:szCs w:val="32"/>
          <w:u w:val="single"/>
          <w:lang w:val="fr-CA"/>
        </w:rPr>
        <w:t>p</w:t>
      </w:r>
      <w:bookmarkStart w:id="1" w:name="lt_pId001"/>
      <w:bookmarkEnd w:id="0"/>
      <w:r w:rsidR="00B42AF3" w:rsidRPr="000C7BFC">
        <w:rPr>
          <w:rFonts w:ascii="Calibri" w:eastAsia="Calibri" w:hAnsi="Calibri" w:cs="Calibri"/>
          <w:b/>
          <w:bCs/>
          <w:sz w:val="32"/>
          <w:szCs w:val="32"/>
          <w:u w:val="single"/>
          <w:lang w:val="fr-CA"/>
        </w:rPr>
        <w:t>olitique de transition vers les biosimilaires</w:t>
      </w:r>
      <w:bookmarkEnd w:id="1"/>
      <w:r w:rsidR="00560EF9">
        <w:rPr>
          <w:rFonts w:ascii="Calibri" w:eastAsia="Calibri" w:hAnsi="Calibri" w:cs="Calibri"/>
          <w:b/>
          <w:bCs/>
          <w:sz w:val="32"/>
          <w:szCs w:val="32"/>
          <w:u w:val="single"/>
          <w:lang w:val="fr-CA"/>
        </w:rPr>
        <w:t xml:space="preserve"> pour les régimes privés d’avantages sociaux</w:t>
      </w:r>
    </w:p>
    <w:p w14:paraId="5A1184E5" w14:textId="0968B4F2" w:rsidR="2EB43415" w:rsidRPr="00113EBE" w:rsidRDefault="000662AB">
      <w:pPr>
        <w:rPr>
          <w:lang w:val="fr-CA"/>
        </w:rPr>
      </w:pPr>
      <w:r w:rsidRPr="00113EBE">
        <w:rPr>
          <w:rFonts w:ascii="Calibri" w:eastAsia="Calibri" w:hAnsi="Calibri" w:cs="Calibri"/>
          <w:b/>
          <w:bCs/>
          <w:lang w:val="fr-CA"/>
        </w:rPr>
        <w:t xml:space="preserve"> </w:t>
      </w:r>
    </w:p>
    <w:p w14:paraId="23F9BCAB" w14:textId="1250A002" w:rsidR="2EB43415" w:rsidRPr="00113EBE" w:rsidRDefault="000662AB" w:rsidP="00375311">
      <w:pPr>
        <w:rPr>
          <w:lang w:val="fr-CA"/>
        </w:rPr>
      </w:pPr>
      <w:bookmarkStart w:id="2" w:name="lt_pId002"/>
      <w:r w:rsidRPr="00113EBE">
        <w:rPr>
          <w:rFonts w:ascii="Calibri" w:eastAsia="Calibri" w:hAnsi="Calibri" w:cs="Calibri"/>
          <w:b/>
          <w:bCs/>
          <w:lang w:val="fr-CA"/>
        </w:rPr>
        <w:t>Objecti</w:t>
      </w:r>
      <w:r w:rsidR="00B42AF3" w:rsidRPr="00113EBE">
        <w:rPr>
          <w:rFonts w:ascii="Calibri" w:eastAsia="Calibri" w:hAnsi="Calibri" w:cs="Calibri"/>
          <w:b/>
          <w:bCs/>
          <w:lang w:val="fr-CA"/>
        </w:rPr>
        <w:t>f :</w:t>
      </w:r>
      <w:r w:rsidRPr="00113EBE">
        <w:rPr>
          <w:rFonts w:ascii="Calibri" w:eastAsia="Calibri" w:hAnsi="Calibri" w:cs="Calibri"/>
          <w:b/>
          <w:bCs/>
          <w:lang w:val="fr-CA"/>
        </w:rPr>
        <w:t xml:space="preserve"> </w:t>
      </w:r>
      <w:r w:rsidR="00B42AF3" w:rsidRPr="00113EBE">
        <w:rPr>
          <w:rFonts w:ascii="Calibri" w:eastAsia="Calibri" w:hAnsi="Calibri" w:cs="Calibri"/>
          <w:lang w:val="fr-CA"/>
        </w:rPr>
        <w:t xml:space="preserve">Permettre de mettre en œuvre des politiques de transition vers les biosimilaires </w:t>
      </w:r>
      <w:r w:rsidR="00560EF9">
        <w:rPr>
          <w:rFonts w:ascii="Calibri" w:eastAsia="Calibri" w:hAnsi="Calibri" w:cs="Calibri"/>
          <w:lang w:val="fr-CA"/>
        </w:rPr>
        <w:t xml:space="preserve">pour les régimes privés d’avantages sociaux </w:t>
      </w:r>
      <w:r w:rsidR="00CB4C96" w:rsidRPr="00113EBE">
        <w:rPr>
          <w:rFonts w:ascii="Calibri" w:eastAsia="Calibri" w:hAnsi="Calibri" w:cs="Calibri"/>
          <w:lang w:val="fr-CA"/>
        </w:rPr>
        <w:t xml:space="preserve">en </w:t>
      </w:r>
      <w:r w:rsidR="00CB4C96">
        <w:rPr>
          <w:rFonts w:ascii="Calibri" w:eastAsia="Calibri" w:hAnsi="Calibri" w:cs="Calibri"/>
          <w:lang w:val="fr-CA"/>
        </w:rPr>
        <w:t>donnant</w:t>
      </w:r>
      <w:r w:rsidR="005E1331">
        <w:rPr>
          <w:rFonts w:ascii="Calibri" w:eastAsia="Calibri" w:hAnsi="Calibri" w:cs="Calibri"/>
          <w:lang w:val="fr-CA"/>
        </w:rPr>
        <w:t xml:space="preserve"> des explications claires </w:t>
      </w:r>
      <w:r w:rsidR="00B42AF3" w:rsidRPr="00113EBE">
        <w:rPr>
          <w:rFonts w:ascii="Calibri" w:eastAsia="Calibri" w:hAnsi="Calibri" w:cs="Calibri"/>
          <w:lang w:val="fr-CA"/>
        </w:rPr>
        <w:t xml:space="preserve">et en suscitant la confiance des promoteurs de régime et </w:t>
      </w:r>
      <w:r w:rsidR="005E1331">
        <w:rPr>
          <w:rFonts w:ascii="Calibri" w:eastAsia="Calibri" w:hAnsi="Calibri" w:cs="Calibri"/>
          <w:lang w:val="fr-CA"/>
        </w:rPr>
        <w:t xml:space="preserve">de leurs </w:t>
      </w:r>
      <w:r w:rsidR="00B42AF3" w:rsidRPr="00113EBE">
        <w:rPr>
          <w:rFonts w:ascii="Calibri" w:eastAsia="Calibri" w:hAnsi="Calibri" w:cs="Calibri"/>
          <w:lang w:val="fr-CA"/>
        </w:rPr>
        <w:t>participants quant à la simplicité et à l’efficacité d</w:t>
      </w:r>
      <w:r w:rsidR="00560EF9">
        <w:rPr>
          <w:rFonts w:ascii="Calibri" w:eastAsia="Calibri" w:hAnsi="Calibri" w:cs="Calibri"/>
          <w:lang w:val="fr-CA"/>
        </w:rPr>
        <w:t>e la transition vers les</w:t>
      </w:r>
      <w:r w:rsidR="00B42AF3" w:rsidRPr="00113EBE">
        <w:rPr>
          <w:rFonts w:ascii="Calibri" w:eastAsia="Calibri" w:hAnsi="Calibri" w:cs="Calibri"/>
          <w:lang w:val="fr-CA"/>
        </w:rPr>
        <w:t xml:space="preserve"> biosimilaires.</w:t>
      </w:r>
      <w:bookmarkEnd w:id="2"/>
    </w:p>
    <w:p w14:paraId="095D9A12" w14:textId="295E6ACD" w:rsidR="007A6D63" w:rsidRPr="00113EBE" w:rsidRDefault="00B42AF3" w:rsidP="00CD596C">
      <w:pPr>
        <w:spacing w:line="240" w:lineRule="exact"/>
        <w:rPr>
          <w:rFonts w:ascii="Calibri" w:eastAsia="Calibri" w:hAnsi="Calibri" w:cs="Calibri"/>
          <w:lang w:val="fr-CA"/>
        </w:rPr>
      </w:pPr>
      <w:bookmarkStart w:id="3" w:name="lt_pId003"/>
      <w:r w:rsidRPr="00113EBE">
        <w:rPr>
          <w:rFonts w:ascii="Calibri" w:eastAsia="Calibri" w:hAnsi="Calibri" w:cs="Calibri"/>
          <w:b/>
          <w:bCs/>
          <w:lang w:val="fr-CA"/>
        </w:rPr>
        <w:t>Objet :</w:t>
      </w:r>
      <w:r w:rsidR="000662AB" w:rsidRPr="00113EBE">
        <w:rPr>
          <w:rFonts w:ascii="Calibri" w:eastAsia="Calibri" w:hAnsi="Calibri" w:cs="Calibri"/>
          <w:b/>
          <w:bCs/>
          <w:lang w:val="fr-CA"/>
        </w:rPr>
        <w:t xml:space="preserve"> </w:t>
      </w:r>
      <w:r w:rsidRPr="00113EBE">
        <w:rPr>
          <w:rFonts w:ascii="Calibri" w:eastAsia="Calibri" w:hAnsi="Calibri" w:cs="Calibri"/>
          <w:lang w:val="fr-CA"/>
        </w:rPr>
        <w:t xml:space="preserve">Fournir des ressources </w:t>
      </w:r>
      <w:r w:rsidR="005E1331">
        <w:rPr>
          <w:rFonts w:ascii="Calibri" w:eastAsia="Calibri" w:hAnsi="Calibri" w:cs="Calibri"/>
          <w:lang w:val="fr-CA"/>
        </w:rPr>
        <w:t>pour</w:t>
      </w:r>
      <w:r w:rsidRPr="00113EBE">
        <w:rPr>
          <w:rFonts w:ascii="Calibri" w:eastAsia="Calibri" w:hAnsi="Calibri" w:cs="Calibri"/>
          <w:lang w:val="fr-CA"/>
        </w:rPr>
        <w:t xml:space="preserve"> l’élaboration de </w:t>
      </w:r>
      <w:r w:rsidR="000662AB" w:rsidRPr="00113EBE">
        <w:rPr>
          <w:rFonts w:ascii="Calibri" w:eastAsia="Calibri" w:hAnsi="Calibri" w:cs="Calibri"/>
          <w:lang w:val="fr-CA"/>
        </w:rPr>
        <w:t xml:space="preserve">communications </w:t>
      </w:r>
      <w:r w:rsidR="005E1331">
        <w:rPr>
          <w:rFonts w:ascii="Calibri" w:eastAsia="Calibri" w:hAnsi="Calibri" w:cs="Calibri"/>
          <w:lang w:val="fr-CA"/>
        </w:rPr>
        <w:t>destinées aux</w:t>
      </w:r>
      <w:r w:rsidRPr="00113EBE">
        <w:rPr>
          <w:rFonts w:ascii="Calibri" w:eastAsia="Calibri" w:hAnsi="Calibri" w:cs="Calibri"/>
          <w:lang w:val="fr-CA"/>
        </w:rPr>
        <w:t xml:space="preserve"> promoteurs de régime et </w:t>
      </w:r>
      <w:r w:rsidR="005E1331">
        <w:rPr>
          <w:rFonts w:ascii="Calibri" w:eastAsia="Calibri" w:hAnsi="Calibri" w:cs="Calibri"/>
          <w:lang w:val="fr-CA"/>
        </w:rPr>
        <w:t xml:space="preserve">à leurs </w:t>
      </w:r>
      <w:r w:rsidRPr="00113EBE">
        <w:rPr>
          <w:rFonts w:ascii="Calibri" w:eastAsia="Calibri" w:hAnsi="Calibri" w:cs="Calibri"/>
          <w:lang w:val="fr-CA"/>
        </w:rPr>
        <w:t>participants au sujet des modalité</w:t>
      </w:r>
      <w:r w:rsidR="00725F62">
        <w:rPr>
          <w:rFonts w:ascii="Calibri" w:eastAsia="Calibri" w:hAnsi="Calibri" w:cs="Calibri"/>
          <w:lang w:val="fr-CA"/>
        </w:rPr>
        <w:t>s</w:t>
      </w:r>
      <w:r w:rsidRPr="00113EBE">
        <w:rPr>
          <w:rFonts w:ascii="Calibri" w:eastAsia="Calibri" w:hAnsi="Calibri" w:cs="Calibri"/>
          <w:lang w:val="fr-CA"/>
        </w:rPr>
        <w:t xml:space="preserve"> et du bien-fondé des politiques de transition vers les biosimilaires.</w:t>
      </w:r>
      <w:bookmarkEnd w:id="3"/>
      <w:r w:rsidR="000662AB" w:rsidRPr="00113EBE">
        <w:rPr>
          <w:rFonts w:ascii="Calibri" w:eastAsia="Calibri" w:hAnsi="Calibri" w:cs="Calibri"/>
          <w:lang w:val="fr-CA"/>
        </w:rPr>
        <w:t xml:space="preserve">  </w:t>
      </w:r>
    </w:p>
    <w:p w14:paraId="0DD40D94" w14:textId="12B7DB12" w:rsidR="006A6A33" w:rsidRPr="000C7BFC" w:rsidRDefault="00B42AF3" w:rsidP="00CD596C">
      <w:pPr>
        <w:spacing w:line="240" w:lineRule="exact"/>
        <w:rPr>
          <w:rFonts w:ascii="Calibri" w:eastAsia="Calibri" w:hAnsi="Calibri" w:cs="Calibri"/>
          <w:lang w:val="fr-CA"/>
        </w:rPr>
      </w:pPr>
      <w:bookmarkStart w:id="4" w:name="lt_pId004"/>
      <w:r w:rsidRPr="000C7BFC">
        <w:rPr>
          <w:rFonts w:ascii="Calibri" w:eastAsia="Calibri" w:hAnsi="Calibri" w:cs="Calibri"/>
          <w:lang w:val="fr-CA"/>
        </w:rPr>
        <w:t>Les ressources disponibles sont les suivantes :</w:t>
      </w:r>
      <w:bookmarkEnd w:id="4"/>
    </w:p>
    <w:p w14:paraId="5E1F7D0C" w14:textId="59721F23" w:rsidR="00CD596C" w:rsidRPr="000C7BFC" w:rsidRDefault="00785724" w:rsidP="006A6A33">
      <w:pPr>
        <w:pStyle w:val="ListParagraph"/>
        <w:numPr>
          <w:ilvl w:val="0"/>
          <w:numId w:val="5"/>
        </w:numPr>
        <w:spacing w:line="240" w:lineRule="exact"/>
        <w:rPr>
          <w:lang w:val="fr-CA"/>
        </w:rPr>
      </w:pPr>
      <w:bookmarkStart w:id="5" w:name="lt_pId005"/>
      <w:r w:rsidRPr="000C7BFC">
        <w:rPr>
          <w:lang w:val="fr-CA"/>
        </w:rPr>
        <w:t>Vue d’ensemble simple, étape par étape, du parcours du pa</w:t>
      </w:r>
      <w:r w:rsidR="00826A59">
        <w:rPr>
          <w:lang w:val="fr-CA"/>
        </w:rPr>
        <w:t>tient</w:t>
      </w:r>
      <w:r w:rsidR="00567E50">
        <w:rPr>
          <w:lang w:val="fr-CA"/>
        </w:rPr>
        <w:t xml:space="preserve"> </w:t>
      </w:r>
      <w:r w:rsidRPr="000C7BFC">
        <w:rPr>
          <w:lang w:val="fr-CA"/>
        </w:rPr>
        <w:t>durant la mise en œuvre d’une politique de transition</w:t>
      </w:r>
      <w:r w:rsidR="000662AB" w:rsidRPr="000C7BFC">
        <w:rPr>
          <w:lang w:val="fr-CA"/>
        </w:rPr>
        <w:t xml:space="preserve"> </w:t>
      </w:r>
      <w:bookmarkEnd w:id="5"/>
    </w:p>
    <w:p w14:paraId="7AFDF691" w14:textId="0A215B7C" w:rsidR="00AE66FB" w:rsidRPr="000C7BFC" w:rsidRDefault="00785724" w:rsidP="006A6A33">
      <w:pPr>
        <w:pStyle w:val="ListParagraph"/>
        <w:numPr>
          <w:ilvl w:val="0"/>
          <w:numId w:val="5"/>
        </w:numPr>
        <w:spacing w:line="240" w:lineRule="exact"/>
        <w:rPr>
          <w:lang w:val="fr-CA"/>
        </w:rPr>
      </w:pPr>
      <w:bookmarkStart w:id="6" w:name="lt_pId006"/>
      <w:r w:rsidRPr="000C7BFC">
        <w:rPr>
          <w:lang w:val="fr-CA"/>
        </w:rPr>
        <w:t>Expérience canadienne à ce jour en matière de politique de transition vers les biosimilaires, y compris en ce qui concerne l’élaboration d</w:t>
      </w:r>
      <w:r w:rsidR="00826A59">
        <w:rPr>
          <w:lang w:val="fr-CA"/>
        </w:rPr>
        <w:t>’une</w:t>
      </w:r>
      <w:r w:rsidRPr="000C7BFC">
        <w:rPr>
          <w:lang w:val="fr-CA"/>
        </w:rPr>
        <w:t xml:space="preserve"> politique et ses résultats</w:t>
      </w:r>
      <w:r w:rsidR="000662AB" w:rsidRPr="000C7BFC">
        <w:rPr>
          <w:lang w:val="fr-CA"/>
        </w:rPr>
        <w:t xml:space="preserve"> </w:t>
      </w:r>
      <w:bookmarkEnd w:id="6"/>
    </w:p>
    <w:p w14:paraId="52FF3FFC" w14:textId="3D045FD2" w:rsidR="00632C8E" w:rsidRPr="000C7BFC" w:rsidRDefault="000662AB" w:rsidP="005E4A16">
      <w:pPr>
        <w:pStyle w:val="ListParagraph"/>
        <w:numPr>
          <w:ilvl w:val="0"/>
          <w:numId w:val="5"/>
        </w:numPr>
        <w:spacing w:line="240" w:lineRule="exact"/>
        <w:rPr>
          <w:lang w:val="fr-CA"/>
        </w:rPr>
      </w:pPr>
      <w:bookmarkStart w:id="7" w:name="lt_pId007"/>
      <w:r w:rsidRPr="000C7BFC">
        <w:rPr>
          <w:lang w:val="fr-CA"/>
        </w:rPr>
        <w:t>D</w:t>
      </w:r>
      <w:r w:rsidR="00785724" w:rsidRPr="000C7BFC">
        <w:rPr>
          <w:lang w:val="fr-CA"/>
        </w:rPr>
        <w:t>é</w:t>
      </w:r>
      <w:r w:rsidRPr="000C7BFC">
        <w:rPr>
          <w:lang w:val="fr-CA"/>
        </w:rPr>
        <w:t xml:space="preserve">monstration </w:t>
      </w:r>
      <w:r w:rsidR="00785724" w:rsidRPr="000C7BFC">
        <w:rPr>
          <w:lang w:val="fr-CA"/>
        </w:rPr>
        <w:t>de l’</w:t>
      </w:r>
      <w:r w:rsidR="00526174">
        <w:rPr>
          <w:lang w:val="fr-CA"/>
        </w:rPr>
        <w:t>impact</w:t>
      </w:r>
      <w:r w:rsidR="00785724" w:rsidRPr="000C7BFC">
        <w:rPr>
          <w:lang w:val="fr-CA"/>
        </w:rPr>
        <w:t xml:space="preserve"> </w:t>
      </w:r>
      <w:r w:rsidR="00CB4C96" w:rsidRPr="000C7BFC">
        <w:rPr>
          <w:lang w:val="fr-CA"/>
        </w:rPr>
        <w:t>financier pour</w:t>
      </w:r>
      <w:r w:rsidR="00785724" w:rsidRPr="000C7BFC">
        <w:rPr>
          <w:lang w:val="fr-CA"/>
        </w:rPr>
        <w:t xml:space="preserve"> les promoteurs de régime </w:t>
      </w:r>
      <w:bookmarkEnd w:id="7"/>
    </w:p>
    <w:p w14:paraId="112A3B6F" w14:textId="77777777" w:rsidR="00590639" w:rsidRPr="000C7BFC" w:rsidRDefault="00D13784" w:rsidP="00CD596C">
      <w:pPr>
        <w:spacing w:line="240" w:lineRule="exact"/>
        <w:rPr>
          <w:lang w:val="fr-CA"/>
        </w:rPr>
      </w:pPr>
    </w:p>
    <w:p w14:paraId="41B1D4C7" w14:textId="77C66554" w:rsidR="001439BC" w:rsidRPr="000C7BFC" w:rsidRDefault="000662AB" w:rsidP="00CD596C">
      <w:pPr>
        <w:spacing w:line="240" w:lineRule="exact"/>
        <w:rPr>
          <w:lang w:val="fr-CA"/>
        </w:rPr>
      </w:pPr>
      <w:r w:rsidRPr="000C7BFC">
        <w:rPr>
          <w:lang w:val="fr-CA"/>
        </w:rPr>
        <w:t>*******</w:t>
      </w:r>
    </w:p>
    <w:p w14:paraId="44AC44E7" w14:textId="7C5A71AF" w:rsidR="005B66DC" w:rsidRPr="00113EBE" w:rsidRDefault="001C25A7" w:rsidP="00CD596C">
      <w:pPr>
        <w:spacing w:line="240" w:lineRule="exact"/>
        <w:rPr>
          <w:lang w:val="fr-CA"/>
        </w:rPr>
      </w:pPr>
      <w:bookmarkStart w:id="8" w:name="lt_pId009"/>
      <w:r w:rsidRPr="000C7BFC">
        <w:rPr>
          <w:lang w:val="fr-CA"/>
        </w:rPr>
        <w:t>À l’attention des promoteurs de régime,</w:t>
      </w:r>
      <w:bookmarkEnd w:id="8"/>
    </w:p>
    <w:p w14:paraId="62F723E6" w14:textId="3A4F2332" w:rsidR="00BC4E1E" w:rsidRPr="00113EBE" w:rsidRDefault="001C25A7" w:rsidP="00CD596C">
      <w:pPr>
        <w:spacing w:line="240" w:lineRule="exact"/>
        <w:rPr>
          <w:lang w:val="fr-CA"/>
        </w:rPr>
      </w:pPr>
      <w:bookmarkStart w:id="9" w:name="lt_pId010"/>
      <w:r w:rsidRPr="00113EBE">
        <w:rPr>
          <w:lang w:val="fr-CA"/>
        </w:rPr>
        <w:t xml:space="preserve">Nous allons mettre en œuvre des changements </w:t>
      </w:r>
      <w:r w:rsidR="00526174">
        <w:rPr>
          <w:lang w:val="fr-CA"/>
        </w:rPr>
        <w:t xml:space="preserve">à votre couverture </w:t>
      </w:r>
      <w:r w:rsidR="00CD3BC4">
        <w:rPr>
          <w:lang w:val="fr-CA"/>
        </w:rPr>
        <w:t xml:space="preserve">d’assurance </w:t>
      </w:r>
      <w:r w:rsidR="00CD3BC4" w:rsidRPr="00113EBE">
        <w:rPr>
          <w:lang w:val="fr-CA"/>
        </w:rPr>
        <w:t>médicaments</w:t>
      </w:r>
      <w:r w:rsidRPr="00113EBE">
        <w:rPr>
          <w:lang w:val="fr-CA"/>
        </w:rPr>
        <w:t xml:space="preserve"> afin d’accroître l’utilisation des biosimilaires par les participants </w:t>
      </w:r>
      <w:r w:rsidR="005E1331">
        <w:rPr>
          <w:lang w:val="fr-CA"/>
        </w:rPr>
        <w:t>de</w:t>
      </w:r>
      <w:r w:rsidRPr="00113EBE">
        <w:rPr>
          <w:lang w:val="fr-CA"/>
        </w:rPr>
        <w:t xml:space="preserve"> votre régime.</w:t>
      </w:r>
      <w:bookmarkEnd w:id="9"/>
      <w:r w:rsidRPr="00113EBE">
        <w:rPr>
          <w:lang w:val="fr-CA"/>
        </w:rPr>
        <w:t xml:space="preserve"> Cette stratégie fondée sur des données probantes</w:t>
      </w:r>
      <w:r w:rsidR="000662AB" w:rsidRPr="00113EBE">
        <w:rPr>
          <w:lang w:val="fr-CA"/>
        </w:rPr>
        <w:t xml:space="preserve"> </w:t>
      </w:r>
      <w:bookmarkStart w:id="10" w:name="lt_pId011"/>
      <w:r w:rsidR="00526174">
        <w:rPr>
          <w:lang w:val="fr-CA"/>
        </w:rPr>
        <w:t xml:space="preserve">vous </w:t>
      </w:r>
      <w:r w:rsidRPr="00113EBE">
        <w:rPr>
          <w:lang w:val="fr-CA"/>
        </w:rPr>
        <w:t>permettra de réaliser des économies substantielles tout en offrant aux participants</w:t>
      </w:r>
      <w:r w:rsidR="00526174">
        <w:rPr>
          <w:lang w:val="fr-CA"/>
        </w:rPr>
        <w:t xml:space="preserve"> un</w:t>
      </w:r>
      <w:r w:rsidR="00567E50">
        <w:rPr>
          <w:lang w:val="fr-CA"/>
        </w:rPr>
        <w:t xml:space="preserve"> </w:t>
      </w:r>
      <w:r w:rsidRPr="00113EBE">
        <w:rPr>
          <w:lang w:val="fr-CA"/>
        </w:rPr>
        <w:t xml:space="preserve">traitement </w:t>
      </w:r>
      <w:r w:rsidR="00526174">
        <w:rPr>
          <w:lang w:val="fr-CA"/>
        </w:rPr>
        <w:t xml:space="preserve">aussi </w:t>
      </w:r>
      <w:r w:rsidRPr="00113EBE">
        <w:rPr>
          <w:lang w:val="fr-CA"/>
        </w:rPr>
        <w:t>efficace.</w:t>
      </w:r>
      <w:bookmarkEnd w:id="10"/>
    </w:p>
    <w:p w14:paraId="3A26475C" w14:textId="6EE5C4B3" w:rsidR="009570FC" w:rsidRPr="00113EBE" w:rsidRDefault="001C25A7" w:rsidP="00CD596C">
      <w:pPr>
        <w:spacing w:line="240" w:lineRule="exact"/>
        <w:rPr>
          <w:lang w:val="fr-CA"/>
        </w:rPr>
      </w:pPr>
      <w:bookmarkStart w:id="11" w:name="lt_pId012"/>
      <w:r w:rsidRPr="00113EBE">
        <w:rPr>
          <w:lang w:val="fr-CA"/>
        </w:rPr>
        <w:t xml:space="preserve">Ces dernières années, bon nombre de régimes d’assurance médicaments canadiens, tant publics que privés, ont mis en œuvre des politiques prévoyant </w:t>
      </w:r>
      <w:r w:rsidR="00070B41" w:rsidRPr="00113EBE">
        <w:rPr>
          <w:lang w:val="fr-CA"/>
        </w:rPr>
        <w:t>l</w:t>
      </w:r>
      <w:r w:rsidR="008D546F">
        <w:rPr>
          <w:lang w:val="fr-CA"/>
        </w:rPr>
        <w:t>a transition des</w:t>
      </w:r>
      <w:r w:rsidR="00070B41" w:rsidRPr="00113EBE">
        <w:rPr>
          <w:lang w:val="fr-CA"/>
        </w:rPr>
        <w:t xml:space="preserve"> patients de leur médicament biologique de référence </w:t>
      </w:r>
      <w:r w:rsidR="008D546F">
        <w:rPr>
          <w:lang w:val="fr-CA"/>
        </w:rPr>
        <w:t>vers</w:t>
      </w:r>
      <w:r w:rsidR="00567E50">
        <w:rPr>
          <w:lang w:val="fr-CA"/>
        </w:rPr>
        <w:t xml:space="preserve"> </w:t>
      </w:r>
      <w:r w:rsidR="00070B41" w:rsidRPr="00113EBE">
        <w:rPr>
          <w:lang w:val="fr-CA"/>
        </w:rPr>
        <w:t>une version biosimilaire de celui-ci</w:t>
      </w:r>
      <w:r w:rsidR="006A5AF2">
        <w:rPr>
          <w:lang w:val="fr-CA"/>
        </w:rPr>
        <w:t xml:space="preserve">; ces initiatives ont donné des résultats positifs et ont permis d’acquérir une expérience précieuse et de tirer des enseignements clés. </w:t>
      </w:r>
      <w:bookmarkEnd w:id="11"/>
    </w:p>
    <w:p w14:paraId="5E18794D" w14:textId="583A5321" w:rsidR="00251F1D" w:rsidRPr="00113EBE" w:rsidRDefault="00070B41" w:rsidP="00CD596C">
      <w:pPr>
        <w:spacing w:line="240" w:lineRule="exact"/>
        <w:rPr>
          <w:lang w:val="fr-CA"/>
        </w:rPr>
      </w:pPr>
      <w:bookmarkStart w:id="12" w:name="lt_pId013"/>
      <w:r w:rsidRPr="00113EBE">
        <w:rPr>
          <w:lang w:val="fr-CA"/>
        </w:rPr>
        <w:t>Veuillez noter qu’</w:t>
      </w:r>
      <w:r w:rsidR="00F87D7A">
        <w:rPr>
          <w:lang w:val="fr-CA"/>
        </w:rPr>
        <w:t>en date</w:t>
      </w:r>
      <w:r w:rsidRPr="00113EBE">
        <w:rPr>
          <w:lang w:val="fr-CA"/>
        </w:rPr>
        <w:t xml:space="preserve"> du</w:t>
      </w:r>
      <w:r w:rsidR="000662AB" w:rsidRPr="00113EBE">
        <w:rPr>
          <w:lang w:val="fr-CA"/>
        </w:rPr>
        <w:t xml:space="preserve"> __________, </w:t>
      </w:r>
      <w:r w:rsidRPr="00113EBE">
        <w:rPr>
          <w:lang w:val="fr-CA"/>
        </w:rPr>
        <w:t xml:space="preserve">les participants </w:t>
      </w:r>
      <w:r w:rsidR="006A5AF2">
        <w:rPr>
          <w:lang w:val="fr-CA"/>
        </w:rPr>
        <w:t>d</w:t>
      </w:r>
      <w:r w:rsidRPr="00113EBE">
        <w:rPr>
          <w:lang w:val="fr-CA"/>
        </w:rPr>
        <w:t xml:space="preserve">u régime qui prennent le médicament biologique de référence suivant devront être </w:t>
      </w:r>
      <w:r w:rsidR="008D546F">
        <w:rPr>
          <w:lang w:val="fr-CA"/>
        </w:rPr>
        <w:t>transitionnés</w:t>
      </w:r>
      <w:r w:rsidR="00CB4C96">
        <w:rPr>
          <w:lang w:val="fr-CA"/>
        </w:rPr>
        <w:t xml:space="preserve"> </w:t>
      </w:r>
      <w:r w:rsidR="008D546F">
        <w:rPr>
          <w:lang w:val="fr-CA"/>
        </w:rPr>
        <w:t>vers</w:t>
      </w:r>
      <w:r w:rsidRPr="00113EBE">
        <w:rPr>
          <w:lang w:val="fr-CA"/>
        </w:rPr>
        <w:t xml:space="preserve"> une version biosimilaire de celui-ci :</w:t>
      </w:r>
      <w:bookmarkEnd w:id="12"/>
    </w:p>
    <w:p w14:paraId="70FCCE00" w14:textId="77777777" w:rsidR="00B60C07" w:rsidRPr="00113EBE" w:rsidRDefault="00D13784" w:rsidP="00CD596C">
      <w:pPr>
        <w:spacing w:line="240" w:lineRule="exact"/>
        <w:rPr>
          <w:lang w:val="fr-CA"/>
        </w:rPr>
      </w:pPr>
    </w:p>
    <w:tbl>
      <w:tblPr>
        <w:tblStyle w:val="TableGrid"/>
        <w:tblW w:w="0" w:type="auto"/>
        <w:tblInd w:w="175" w:type="dxa"/>
        <w:tblLook w:val="04A0" w:firstRow="1" w:lastRow="0" w:firstColumn="1" w:lastColumn="0" w:noHBand="0" w:noVBand="1"/>
      </w:tblPr>
      <w:tblGrid>
        <w:gridCol w:w="3150"/>
        <w:gridCol w:w="2880"/>
        <w:gridCol w:w="2425"/>
      </w:tblGrid>
      <w:tr w:rsidR="00D14144" w:rsidRPr="00113EBE" w14:paraId="03D648B4" w14:textId="5DA29D99" w:rsidTr="00B60C07">
        <w:tc>
          <w:tcPr>
            <w:tcW w:w="3150" w:type="dxa"/>
          </w:tcPr>
          <w:p w14:paraId="017CA9A8" w14:textId="4A621D31" w:rsidR="007A397B" w:rsidRPr="002F4D65" w:rsidRDefault="000662AB" w:rsidP="001C19F7">
            <w:pPr>
              <w:pStyle w:val="ListParagraph"/>
              <w:spacing w:line="240" w:lineRule="exact"/>
              <w:ind w:left="0"/>
              <w:jc w:val="center"/>
              <w:rPr>
                <w:b/>
                <w:bCs/>
                <w:lang w:val="fr-CA"/>
              </w:rPr>
            </w:pPr>
            <w:r w:rsidRPr="002F4D65">
              <w:rPr>
                <w:b/>
                <w:bCs/>
                <w:lang w:val="fr-CA"/>
              </w:rPr>
              <w:t xml:space="preserve"> </w:t>
            </w:r>
            <w:bookmarkStart w:id="13" w:name="lt_pId014"/>
            <w:r w:rsidR="00B42AF3" w:rsidRPr="002F4D65">
              <w:rPr>
                <w:b/>
                <w:bCs/>
                <w:lang w:val="fr-CA"/>
              </w:rPr>
              <w:t xml:space="preserve">Nom de marque du médicament biologique de référence </w:t>
            </w:r>
            <w:bookmarkEnd w:id="13"/>
          </w:p>
          <w:p w14:paraId="352CC16B" w14:textId="743BD7EC" w:rsidR="007A397B" w:rsidRPr="002F4D65" w:rsidRDefault="000662AB" w:rsidP="001C19F7">
            <w:pPr>
              <w:pStyle w:val="ListParagraph"/>
              <w:spacing w:line="240" w:lineRule="exact"/>
              <w:ind w:left="0"/>
              <w:jc w:val="center"/>
              <w:rPr>
                <w:b/>
                <w:bCs/>
                <w:lang w:val="fr-CA"/>
              </w:rPr>
            </w:pPr>
            <w:bookmarkStart w:id="14" w:name="lt_pId015"/>
            <w:r w:rsidRPr="002F4D65">
              <w:rPr>
                <w:b/>
                <w:bCs/>
                <w:lang w:val="fr-CA"/>
              </w:rPr>
              <w:t>(</w:t>
            </w:r>
            <w:proofErr w:type="gramStart"/>
            <w:r w:rsidR="00B9397C" w:rsidRPr="002F4D65">
              <w:rPr>
                <w:b/>
                <w:bCs/>
                <w:lang w:val="fr-CA"/>
              </w:rPr>
              <w:t>médicament</w:t>
            </w:r>
            <w:proofErr w:type="gramEnd"/>
            <w:r w:rsidR="00B9397C" w:rsidRPr="002F4D65">
              <w:rPr>
                <w:b/>
                <w:bCs/>
                <w:lang w:val="fr-CA"/>
              </w:rPr>
              <w:t xml:space="preserve"> de départ</w:t>
            </w:r>
            <w:r w:rsidRPr="002F4D65">
              <w:rPr>
                <w:b/>
                <w:bCs/>
                <w:lang w:val="fr-CA"/>
              </w:rPr>
              <w:t>)</w:t>
            </w:r>
            <w:bookmarkEnd w:id="14"/>
          </w:p>
        </w:tc>
        <w:tc>
          <w:tcPr>
            <w:tcW w:w="2880" w:type="dxa"/>
          </w:tcPr>
          <w:p w14:paraId="5772516A" w14:textId="1B86CFA4" w:rsidR="007A397B" w:rsidRPr="002F4D65" w:rsidRDefault="005F1479" w:rsidP="001C19F7">
            <w:pPr>
              <w:pStyle w:val="ListParagraph"/>
              <w:spacing w:line="240" w:lineRule="exact"/>
              <w:ind w:left="0"/>
              <w:jc w:val="center"/>
              <w:rPr>
                <w:b/>
                <w:bCs/>
                <w:lang w:val="fr-CA"/>
              </w:rPr>
            </w:pPr>
            <w:bookmarkStart w:id="15" w:name="lt_pId016"/>
            <w:r w:rsidRPr="002F4D65">
              <w:rPr>
                <w:b/>
                <w:bCs/>
                <w:lang w:val="fr-CA"/>
              </w:rPr>
              <w:t>Nom de marque du médicament b</w:t>
            </w:r>
            <w:r w:rsidR="000662AB" w:rsidRPr="002F4D65">
              <w:rPr>
                <w:b/>
                <w:bCs/>
                <w:lang w:val="fr-CA"/>
              </w:rPr>
              <w:t>iosimila</w:t>
            </w:r>
            <w:r w:rsidRPr="002F4D65">
              <w:rPr>
                <w:b/>
                <w:bCs/>
                <w:lang w:val="fr-CA"/>
              </w:rPr>
              <w:t xml:space="preserve">ire </w:t>
            </w:r>
            <w:bookmarkEnd w:id="15"/>
          </w:p>
          <w:p w14:paraId="1104E51D" w14:textId="289907A7" w:rsidR="007A397B" w:rsidRPr="002F4D65" w:rsidRDefault="000662AB" w:rsidP="001C19F7">
            <w:pPr>
              <w:pStyle w:val="ListParagraph"/>
              <w:spacing w:line="240" w:lineRule="exact"/>
              <w:ind w:left="0"/>
              <w:jc w:val="center"/>
              <w:rPr>
                <w:b/>
                <w:bCs/>
                <w:lang w:val="fr-CA"/>
              </w:rPr>
            </w:pPr>
            <w:bookmarkStart w:id="16" w:name="lt_pId017"/>
            <w:r w:rsidRPr="002F4D65">
              <w:rPr>
                <w:b/>
                <w:bCs/>
                <w:lang w:val="fr-CA"/>
              </w:rPr>
              <w:t>(</w:t>
            </w:r>
            <w:proofErr w:type="gramStart"/>
            <w:r w:rsidR="00B9397C" w:rsidRPr="002F4D65">
              <w:rPr>
                <w:b/>
                <w:bCs/>
                <w:lang w:val="fr-CA"/>
              </w:rPr>
              <w:t>médicament</w:t>
            </w:r>
            <w:proofErr w:type="gramEnd"/>
            <w:r w:rsidR="00B9397C" w:rsidRPr="002F4D65">
              <w:rPr>
                <w:b/>
                <w:bCs/>
                <w:lang w:val="fr-CA"/>
              </w:rPr>
              <w:t xml:space="preserve"> adopté à l’issue de la transition</w:t>
            </w:r>
            <w:r w:rsidRPr="002F4D65">
              <w:rPr>
                <w:b/>
                <w:bCs/>
                <w:lang w:val="fr-CA"/>
              </w:rPr>
              <w:t>)</w:t>
            </w:r>
            <w:bookmarkEnd w:id="16"/>
          </w:p>
        </w:tc>
        <w:tc>
          <w:tcPr>
            <w:tcW w:w="2425" w:type="dxa"/>
          </w:tcPr>
          <w:p w14:paraId="4284D537" w14:textId="42C53798" w:rsidR="007A397B" w:rsidRPr="002F4D65" w:rsidRDefault="00B42AF3" w:rsidP="001C19F7">
            <w:pPr>
              <w:pStyle w:val="ListParagraph"/>
              <w:spacing w:line="240" w:lineRule="exact"/>
              <w:ind w:left="0"/>
              <w:jc w:val="center"/>
              <w:rPr>
                <w:b/>
                <w:bCs/>
                <w:lang w:val="fr-CA"/>
              </w:rPr>
            </w:pPr>
            <w:r w:rsidRPr="002F4D65">
              <w:rPr>
                <w:b/>
                <w:bCs/>
                <w:lang w:val="fr-CA"/>
              </w:rPr>
              <w:t>Problèmes de santé</w:t>
            </w:r>
          </w:p>
        </w:tc>
      </w:tr>
      <w:tr w:rsidR="00D14144" w:rsidRPr="00113EBE" w14:paraId="3900A44B" w14:textId="11B1BAC4" w:rsidTr="00B60C07">
        <w:tc>
          <w:tcPr>
            <w:tcW w:w="3150" w:type="dxa"/>
          </w:tcPr>
          <w:p w14:paraId="4EAFD996" w14:textId="77777777" w:rsidR="007A397B" w:rsidRPr="00113EBE" w:rsidRDefault="00D13784" w:rsidP="001C19F7">
            <w:pPr>
              <w:pStyle w:val="ListParagraph"/>
              <w:spacing w:line="240" w:lineRule="exact"/>
              <w:ind w:left="0"/>
              <w:rPr>
                <w:lang w:val="fr-CA"/>
              </w:rPr>
            </w:pPr>
          </w:p>
        </w:tc>
        <w:tc>
          <w:tcPr>
            <w:tcW w:w="2880" w:type="dxa"/>
          </w:tcPr>
          <w:p w14:paraId="4B3B322C" w14:textId="77777777" w:rsidR="007A397B" w:rsidRPr="00113EBE" w:rsidRDefault="00D13784" w:rsidP="001C19F7">
            <w:pPr>
              <w:pStyle w:val="ListParagraph"/>
              <w:spacing w:line="240" w:lineRule="exact"/>
              <w:ind w:left="0"/>
              <w:rPr>
                <w:lang w:val="fr-CA"/>
              </w:rPr>
            </w:pPr>
          </w:p>
        </w:tc>
        <w:tc>
          <w:tcPr>
            <w:tcW w:w="2425" w:type="dxa"/>
          </w:tcPr>
          <w:p w14:paraId="6A56A25B" w14:textId="77777777" w:rsidR="007A397B" w:rsidRPr="00113EBE" w:rsidRDefault="00D13784" w:rsidP="001C19F7">
            <w:pPr>
              <w:pStyle w:val="ListParagraph"/>
              <w:spacing w:line="240" w:lineRule="exact"/>
              <w:ind w:left="0"/>
              <w:rPr>
                <w:lang w:val="fr-CA"/>
              </w:rPr>
            </w:pPr>
          </w:p>
        </w:tc>
      </w:tr>
      <w:tr w:rsidR="00D14144" w:rsidRPr="00113EBE" w14:paraId="348585A3" w14:textId="17B2ACB7" w:rsidTr="00B60C07">
        <w:tc>
          <w:tcPr>
            <w:tcW w:w="3150" w:type="dxa"/>
          </w:tcPr>
          <w:p w14:paraId="68AB90B5" w14:textId="77777777" w:rsidR="007A397B" w:rsidRPr="00113EBE" w:rsidRDefault="00D13784" w:rsidP="001C19F7">
            <w:pPr>
              <w:pStyle w:val="ListParagraph"/>
              <w:spacing w:line="240" w:lineRule="exact"/>
              <w:ind w:left="0"/>
              <w:rPr>
                <w:lang w:val="fr-CA"/>
              </w:rPr>
            </w:pPr>
          </w:p>
        </w:tc>
        <w:tc>
          <w:tcPr>
            <w:tcW w:w="2880" w:type="dxa"/>
          </w:tcPr>
          <w:p w14:paraId="18DB6A30" w14:textId="77777777" w:rsidR="007A397B" w:rsidRPr="00113EBE" w:rsidRDefault="00D13784" w:rsidP="001C19F7">
            <w:pPr>
              <w:pStyle w:val="ListParagraph"/>
              <w:spacing w:line="240" w:lineRule="exact"/>
              <w:ind w:left="0"/>
              <w:rPr>
                <w:lang w:val="fr-CA"/>
              </w:rPr>
            </w:pPr>
          </w:p>
        </w:tc>
        <w:tc>
          <w:tcPr>
            <w:tcW w:w="2425" w:type="dxa"/>
          </w:tcPr>
          <w:p w14:paraId="3C98AE50" w14:textId="77777777" w:rsidR="007A397B" w:rsidRPr="00113EBE" w:rsidRDefault="00D13784" w:rsidP="001C19F7">
            <w:pPr>
              <w:pStyle w:val="ListParagraph"/>
              <w:spacing w:line="240" w:lineRule="exact"/>
              <w:ind w:left="0"/>
              <w:rPr>
                <w:lang w:val="fr-CA"/>
              </w:rPr>
            </w:pPr>
          </w:p>
        </w:tc>
      </w:tr>
      <w:tr w:rsidR="00D14144" w:rsidRPr="00113EBE" w14:paraId="2845814F" w14:textId="6DF77110" w:rsidTr="00B60C07">
        <w:tc>
          <w:tcPr>
            <w:tcW w:w="3150" w:type="dxa"/>
          </w:tcPr>
          <w:p w14:paraId="01647BA9" w14:textId="77777777" w:rsidR="007A397B" w:rsidRPr="00113EBE" w:rsidRDefault="00D13784" w:rsidP="001C19F7">
            <w:pPr>
              <w:pStyle w:val="ListParagraph"/>
              <w:spacing w:line="240" w:lineRule="exact"/>
              <w:ind w:left="0"/>
              <w:rPr>
                <w:lang w:val="fr-CA"/>
              </w:rPr>
            </w:pPr>
          </w:p>
        </w:tc>
        <w:tc>
          <w:tcPr>
            <w:tcW w:w="2880" w:type="dxa"/>
          </w:tcPr>
          <w:p w14:paraId="06E8B3C7" w14:textId="77777777" w:rsidR="007A397B" w:rsidRPr="00113EBE" w:rsidRDefault="00D13784" w:rsidP="001C19F7">
            <w:pPr>
              <w:pStyle w:val="ListParagraph"/>
              <w:spacing w:line="240" w:lineRule="exact"/>
              <w:ind w:left="0"/>
              <w:rPr>
                <w:lang w:val="fr-CA"/>
              </w:rPr>
            </w:pPr>
          </w:p>
        </w:tc>
        <w:tc>
          <w:tcPr>
            <w:tcW w:w="2425" w:type="dxa"/>
          </w:tcPr>
          <w:p w14:paraId="48B9521F" w14:textId="77777777" w:rsidR="007A397B" w:rsidRPr="00113EBE" w:rsidRDefault="00D13784" w:rsidP="001C19F7">
            <w:pPr>
              <w:pStyle w:val="ListParagraph"/>
              <w:spacing w:line="240" w:lineRule="exact"/>
              <w:ind w:left="0"/>
              <w:rPr>
                <w:lang w:val="fr-CA"/>
              </w:rPr>
            </w:pPr>
          </w:p>
        </w:tc>
      </w:tr>
      <w:tr w:rsidR="00D14144" w:rsidRPr="00113EBE" w14:paraId="5E7E72A4" w14:textId="781611A9" w:rsidTr="00B60C07">
        <w:tc>
          <w:tcPr>
            <w:tcW w:w="3150" w:type="dxa"/>
          </w:tcPr>
          <w:p w14:paraId="0D7E7288" w14:textId="77777777" w:rsidR="007A397B" w:rsidRPr="00113EBE" w:rsidRDefault="00D13784" w:rsidP="001C19F7">
            <w:pPr>
              <w:pStyle w:val="ListParagraph"/>
              <w:spacing w:line="240" w:lineRule="exact"/>
              <w:ind w:left="0"/>
              <w:rPr>
                <w:lang w:val="fr-CA"/>
              </w:rPr>
            </w:pPr>
          </w:p>
        </w:tc>
        <w:tc>
          <w:tcPr>
            <w:tcW w:w="2880" w:type="dxa"/>
          </w:tcPr>
          <w:p w14:paraId="46FC776D" w14:textId="77777777" w:rsidR="007A397B" w:rsidRPr="00113EBE" w:rsidRDefault="00D13784" w:rsidP="001C19F7">
            <w:pPr>
              <w:pStyle w:val="ListParagraph"/>
              <w:spacing w:line="240" w:lineRule="exact"/>
              <w:ind w:left="0"/>
              <w:rPr>
                <w:lang w:val="fr-CA"/>
              </w:rPr>
            </w:pPr>
          </w:p>
        </w:tc>
        <w:tc>
          <w:tcPr>
            <w:tcW w:w="2425" w:type="dxa"/>
          </w:tcPr>
          <w:p w14:paraId="01B07DFA" w14:textId="77777777" w:rsidR="007A397B" w:rsidRPr="00113EBE" w:rsidRDefault="00D13784" w:rsidP="001C19F7">
            <w:pPr>
              <w:pStyle w:val="ListParagraph"/>
              <w:spacing w:line="240" w:lineRule="exact"/>
              <w:ind w:left="0"/>
              <w:rPr>
                <w:lang w:val="fr-CA"/>
              </w:rPr>
            </w:pPr>
          </w:p>
        </w:tc>
      </w:tr>
      <w:tr w:rsidR="00D14144" w:rsidRPr="00113EBE" w14:paraId="4C6452EF" w14:textId="79C36691" w:rsidTr="00B60C07">
        <w:tc>
          <w:tcPr>
            <w:tcW w:w="3150" w:type="dxa"/>
          </w:tcPr>
          <w:p w14:paraId="3400DE3D" w14:textId="77777777" w:rsidR="007A397B" w:rsidRPr="00113EBE" w:rsidRDefault="00D13784" w:rsidP="001C19F7">
            <w:pPr>
              <w:pStyle w:val="ListParagraph"/>
              <w:spacing w:line="240" w:lineRule="exact"/>
              <w:ind w:left="0"/>
              <w:rPr>
                <w:lang w:val="fr-CA"/>
              </w:rPr>
            </w:pPr>
          </w:p>
        </w:tc>
        <w:tc>
          <w:tcPr>
            <w:tcW w:w="2880" w:type="dxa"/>
          </w:tcPr>
          <w:p w14:paraId="205A89C7" w14:textId="77777777" w:rsidR="007A397B" w:rsidRPr="00113EBE" w:rsidRDefault="00D13784" w:rsidP="001C19F7">
            <w:pPr>
              <w:pStyle w:val="ListParagraph"/>
              <w:spacing w:line="240" w:lineRule="exact"/>
              <w:ind w:left="0"/>
              <w:rPr>
                <w:lang w:val="fr-CA"/>
              </w:rPr>
            </w:pPr>
          </w:p>
        </w:tc>
        <w:tc>
          <w:tcPr>
            <w:tcW w:w="2425" w:type="dxa"/>
          </w:tcPr>
          <w:p w14:paraId="5842C0DC" w14:textId="77777777" w:rsidR="007A397B" w:rsidRPr="00113EBE" w:rsidRDefault="00D13784" w:rsidP="001C19F7">
            <w:pPr>
              <w:pStyle w:val="ListParagraph"/>
              <w:spacing w:line="240" w:lineRule="exact"/>
              <w:ind w:left="0"/>
              <w:rPr>
                <w:lang w:val="fr-CA"/>
              </w:rPr>
            </w:pPr>
          </w:p>
        </w:tc>
      </w:tr>
    </w:tbl>
    <w:p w14:paraId="611B4B8C" w14:textId="7DA5EB73" w:rsidR="00CB468C" w:rsidRPr="00113EBE" w:rsidRDefault="005F1479" w:rsidP="4768404C">
      <w:pPr>
        <w:spacing w:line="240" w:lineRule="exact"/>
        <w:rPr>
          <w:rFonts w:ascii="Calibri" w:eastAsia="Calibri" w:hAnsi="Calibri" w:cs="Calibri"/>
          <w:b/>
          <w:bCs/>
          <w:u w:val="single"/>
          <w:lang w:val="fr-CA"/>
        </w:rPr>
      </w:pPr>
      <w:bookmarkStart w:id="17" w:name="lt_pId019"/>
      <w:r w:rsidRPr="002F4D65">
        <w:rPr>
          <w:rFonts w:ascii="Calibri" w:eastAsia="Calibri" w:hAnsi="Calibri" w:cs="Calibri"/>
          <w:b/>
          <w:bCs/>
          <w:u w:val="single"/>
          <w:lang w:val="fr-CA"/>
        </w:rPr>
        <w:lastRenderedPageBreak/>
        <w:t>Qu’e</w:t>
      </w:r>
      <w:r w:rsidR="001C25A7" w:rsidRPr="002F4D65">
        <w:rPr>
          <w:rFonts w:ascii="Calibri" w:eastAsia="Calibri" w:hAnsi="Calibri" w:cs="Calibri"/>
          <w:b/>
          <w:bCs/>
          <w:u w:val="single"/>
          <w:lang w:val="fr-CA"/>
        </w:rPr>
        <w:t>ntend-on par « </w:t>
      </w:r>
      <w:r w:rsidRPr="002F4D65">
        <w:rPr>
          <w:rFonts w:ascii="Calibri" w:eastAsia="Calibri" w:hAnsi="Calibri" w:cs="Calibri"/>
          <w:b/>
          <w:bCs/>
          <w:u w:val="single"/>
          <w:lang w:val="fr-CA"/>
        </w:rPr>
        <w:t>médicament biologique</w:t>
      </w:r>
      <w:r w:rsidR="001C25A7" w:rsidRPr="002F4D65">
        <w:rPr>
          <w:rFonts w:ascii="Calibri" w:eastAsia="Calibri" w:hAnsi="Calibri" w:cs="Calibri"/>
          <w:b/>
          <w:bCs/>
          <w:u w:val="single"/>
          <w:lang w:val="fr-CA"/>
        </w:rPr>
        <w:t xml:space="preserve"> » et « médicament </w:t>
      </w:r>
      <w:r w:rsidRPr="002F4D65">
        <w:rPr>
          <w:rFonts w:ascii="Calibri" w:eastAsia="Calibri" w:hAnsi="Calibri" w:cs="Calibri"/>
          <w:b/>
          <w:bCs/>
          <w:u w:val="single"/>
          <w:lang w:val="fr-CA"/>
        </w:rPr>
        <w:t>biosimilaire</w:t>
      </w:r>
      <w:r w:rsidR="001C25A7" w:rsidRPr="002F4D65">
        <w:rPr>
          <w:rFonts w:ascii="Calibri" w:eastAsia="Calibri" w:hAnsi="Calibri" w:cs="Calibri"/>
          <w:b/>
          <w:bCs/>
          <w:u w:val="single"/>
          <w:lang w:val="fr-CA"/>
        </w:rPr>
        <w:t> »</w:t>
      </w:r>
      <w:r w:rsidRPr="002F4D65">
        <w:rPr>
          <w:rFonts w:ascii="Calibri" w:eastAsia="Calibri" w:hAnsi="Calibri" w:cs="Calibri"/>
          <w:b/>
          <w:bCs/>
          <w:u w:val="single"/>
          <w:lang w:val="fr-CA"/>
        </w:rPr>
        <w:t xml:space="preserve">? </w:t>
      </w:r>
      <w:bookmarkEnd w:id="17"/>
    </w:p>
    <w:p w14:paraId="1165B2AA" w14:textId="20F04E83" w:rsidR="009A285C" w:rsidRPr="00113EBE" w:rsidRDefault="001C25A7" w:rsidP="4768404C">
      <w:pPr>
        <w:spacing w:line="240" w:lineRule="exact"/>
        <w:rPr>
          <w:rFonts w:ascii="Calibri" w:eastAsia="Calibri" w:hAnsi="Calibri" w:cs="Calibri"/>
          <w:lang w:val="fr-CA"/>
        </w:rPr>
      </w:pPr>
      <w:bookmarkStart w:id="18" w:name="lt_pId020"/>
      <w:r w:rsidRPr="00113EBE">
        <w:rPr>
          <w:rFonts w:ascii="Calibri" w:eastAsia="Calibri" w:hAnsi="Calibri" w:cs="Calibri"/>
          <w:lang w:val="fr-CA"/>
        </w:rPr>
        <w:t>Les médicaments biologiques sont créés à partir de cellules vivantes par des procédés de fabrication complexes et sont utilisés pour traiter des maladies comme l’arthrite, le diabète et la maladie inflammatoire de l’intestin</w:t>
      </w:r>
      <w:r w:rsidR="000662AB" w:rsidRPr="00113EBE">
        <w:rPr>
          <w:rFonts w:ascii="Calibri" w:eastAsia="Calibri" w:hAnsi="Calibri" w:cs="Calibri"/>
          <w:lang w:val="fr-CA"/>
        </w:rPr>
        <w:t>.</w:t>
      </w:r>
      <w:bookmarkEnd w:id="18"/>
      <w:r w:rsidR="000662AB" w:rsidRPr="00113EBE">
        <w:rPr>
          <w:rFonts w:ascii="Calibri" w:eastAsia="Calibri" w:hAnsi="Calibri" w:cs="Calibri"/>
          <w:lang w:val="fr-CA"/>
        </w:rPr>
        <w:t xml:space="preserve"> </w:t>
      </w:r>
      <w:bookmarkStart w:id="19" w:name="lt_pId021"/>
      <w:r w:rsidR="006835CD" w:rsidRPr="00113EBE">
        <w:rPr>
          <w:rFonts w:ascii="Calibri" w:eastAsia="Calibri" w:hAnsi="Calibri" w:cs="Calibri"/>
          <w:lang w:val="fr-CA"/>
        </w:rPr>
        <w:t xml:space="preserve">La première </w:t>
      </w:r>
      <w:r w:rsidR="000662AB" w:rsidRPr="00113EBE">
        <w:rPr>
          <w:rFonts w:ascii="Calibri" w:eastAsia="Calibri" w:hAnsi="Calibri" w:cs="Calibri"/>
          <w:lang w:val="fr-CA"/>
        </w:rPr>
        <w:t xml:space="preserve">version </w:t>
      </w:r>
      <w:r w:rsidR="006835CD" w:rsidRPr="00113EBE">
        <w:rPr>
          <w:rFonts w:ascii="Calibri" w:eastAsia="Calibri" w:hAnsi="Calibri" w:cs="Calibri"/>
          <w:lang w:val="fr-CA"/>
        </w:rPr>
        <w:t xml:space="preserve">d’un médicament biologique est ce qu’on appelle la « version d’origine » ou le « médicament biologique de référence ». </w:t>
      </w:r>
      <w:bookmarkStart w:id="20" w:name="lt_pId022"/>
      <w:bookmarkEnd w:id="19"/>
      <w:r w:rsidR="006A5AF2">
        <w:rPr>
          <w:rFonts w:ascii="Calibri" w:eastAsia="Calibri" w:hAnsi="Calibri" w:cs="Calibri"/>
          <w:lang w:val="fr-CA"/>
        </w:rPr>
        <w:t>Après</w:t>
      </w:r>
      <w:r w:rsidR="006835CD" w:rsidRPr="00113EBE">
        <w:rPr>
          <w:rFonts w:ascii="Calibri" w:eastAsia="Calibri" w:hAnsi="Calibri" w:cs="Calibri"/>
          <w:lang w:val="fr-CA"/>
        </w:rPr>
        <w:t xml:space="preserve"> l’expiration du brevet sur le médicament biologique de référence, les autres fabricants sont autorisés à fabriquer leurs propres versions de ces médicaments, également appelés « biosimilaires ».</w:t>
      </w:r>
      <w:bookmarkEnd w:id="20"/>
    </w:p>
    <w:p w14:paraId="2DB12CCC" w14:textId="04B7E08A" w:rsidR="009A285C" w:rsidRPr="00113EBE" w:rsidRDefault="00682FCD" w:rsidP="4768404C">
      <w:pPr>
        <w:spacing w:line="240" w:lineRule="exact"/>
        <w:rPr>
          <w:rFonts w:ascii="Calibri" w:eastAsia="Calibri" w:hAnsi="Calibri" w:cs="Calibri"/>
          <w:lang w:val="fr-CA"/>
        </w:rPr>
      </w:pPr>
      <w:bookmarkStart w:id="21" w:name="lt_pId023"/>
      <w:r w:rsidRPr="00113EBE">
        <w:rPr>
          <w:rFonts w:ascii="Calibri" w:eastAsia="Calibri" w:hAnsi="Calibri" w:cs="Calibri"/>
          <w:lang w:val="fr-CA"/>
        </w:rPr>
        <w:t xml:space="preserve">Chaque biosimilaire doit avoir obtenu l’approbation de Santé Canada avant de pouvoir être utilisé par des patients canadiens. </w:t>
      </w:r>
      <w:bookmarkStart w:id="22" w:name="lt_pId024"/>
      <w:bookmarkEnd w:id="21"/>
      <w:r w:rsidRPr="00113EBE">
        <w:rPr>
          <w:rFonts w:ascii="Calibri" w:eastAsia="Calibri" w:hAnsi="Calibri" w:cs="Calibri"/>
          <w:lang w:val="fr-CA"/>
        </w:rPr>
        <w:t xml:space="preserve">Les normes rigoureuses appliquées au processus d’approbation permettent </w:t>
      </w:r>
      <w:r w:rsidR="00521065">
        <w:rPr>
          <w:rFonts w:ascii="Calibri" w:eastAsia="Calibri" w:hAnsi="Calibri" w:cs="Calibri"/>
          <w:lang w:val="fr-CA"/>
        </w:rPr>
        <w:t xml:space="preserve">de </w:t>
      </w:r>
      <w:r w:rsidRPr="00113EBE">
        <w:rPr>
          <w:rFonts w:ascii="Calibri" w:eastAsia="Calibri" w:hAnsi="Calibri" w:cs="Calibri"/>
          <w:lang w:val="fr-CA"/>
        </w:rPr>
        <w:t>s’assurer qu’il n’existe pas de différence significative sur le plan clinique</w:t>
      </w:r>
      <w:r w:rsidR="00521065">
        <w:rPr>
          <w:rFonts w:ascii="Calibri" w:eastAsia="Calibri" w:hAnsi="Calibri" w:cs="Calibri"/>
          <w:lang w:val="fr-CA"/>
        </w:rPr>
        <w:t xml:space="preserve"> avec le</w:t>
      </w:r>
      <w:r w:rsidRPr="00113EBE">
        <w:rPr>
          <w:rFonts w:ascii="Calibri" w:eastAsia="Calibri" w:hAnsi="Calibri" w:cs="Calibri"/>
          <w:lang w:val="fr-CA"/>
        </w:rPr>
        <w:t xml:space="preserve"> </w:t>
      </w:r>
      <w:r w:rsidR="00521065">
        <w:rPr>
          <w:rFonts w:ascii="Calibri" w:eastAsia="Calibri" w:hAnsi="Calibri" w:cs="Calibri"/>
          <w:lang w:val="fr-CA"/>
        </w:rPr>
        <w:t xml:space="preserve">médicament biologique de référence </w:t>
      </w:r>
      <w:r w:rsidRPr="00113EBE">
        <w:rPr>
          <w:rFonts w:ascii="Calibri" w:eastAsia="Calibri" w:hAnsi="Calibri" w:cs="Calibri"/>
          <w:lang w:val="fr-CA"/>
        </w:rPr>
        <w:t xml:space="preserve">en </w:t>
      </w:r>
      <w:r w:rsidR="00521065">
        <w:rPr>
          <w:rFonts w:ascii="Calibri" w:eastAsia="Calibri" w:hAnsi="Calibri" w:cs="Calibri"/>
          <w:lang w:val="fr-CA"/>
        </w:rPr>
        <w:t>matière d</w:t>
      </w:r>
      <w:r w:rsidRPr="00113EBE">
        <w:rPr>
          <w:rFonts w:ascii="Calibri" w:eastAsia="Calibri" w:hAnsi="Calibri" w:cs="Calibri"/>
          <w:lang w:val="fr-CA"/>
        </w:rPr>
        <w:t xml:space="preserve">’innocuité et </w:t>
      </w:r>
      <w:r w:rsidR="00521065">
        <w:rPr>
          <w:rFonts w:ascii="Calibri" w:eastAsia="Calibri" w:hAnsi="Calibri" w:cs="Calibri"/>
          <w:lang w:val="fr-CA"/>
        </w:rPr>
        <w:t>d</w:t>
      </w:r>
      <w:r w:rsidRPr="00113EBE">
        <w:rPr>
          <w:rFonts w:ascii="Calibri" w:eastAsia="Calibri" w:hAnsi="Calibri" w:cs="Calibri"/>
          <w:lang w:val="fr-CA"/>
        </w:rPr>
        <w:t>’efficacité et que les patients et les professionnels de la santé peuvent avoir autant confiance dans les biosimilaires que dans tout autre médicament biologique</w:t>
      </w:r>
      <w:bookmarkStart w:id="23" w:name="_Ref74570509"/>
      <w:r w:rsidR="000662AB" w:rsidRPr="00113EBE">
        <w:rPr>
          <w:rStyle w:val="EndnoteReference"/>
          <w:rFonts w:ascii="Calibri" w:eastAsia="Calibri" w:hAnsi="Calibri" w:cs="Calibri"/>
          <w:lang w:val="fr-CA"/>
        </w:rPr>
        <w:endnoteReference w:id="2"/>
      </w:r>
      <w:bookmarkEnd w:id="23"/>
      <w:r w:rsidR="000662AB" w:rsidRPr="00113EBE">
        <w:rPr>
          <w:rFonts w:ascii="Calibri" w:eastAsia="Calibri" w:hAnsi="Calibri" w:cs="Calibri"/>
          <w:lang w:val="fr-CA"/>
        </w:rPr>
        <w:t>.</w:t>
      </w:r>
      <w:bookmarkEnd w:id="22"/>
    </w:p>
    <w:p w14:paraId="77535730" w14:textId="2A40129A" w:rsidR="000D4BFF" w:rsidRPr="00113EBE" w:rsidRDefault="00682FCD" w:rsidP="4768404C">
      <w:pPr>
        <w:spacing w:line="240" w:lineRule="exact"/>
        <w:rPr>
          <w:rFonts w:ascii="Calibri" w:eastAsia="Calibri" w:hAnsi="Calibri" w:cs="Calibri"/>
          <w:lang w:val="fr-CA"/>
        </w:rPr>
      </w:pPr>
      <w:bookmarkStart w:id="24" w:name="lt_pId025"/>
      <w:r w:rsidRPr="00113EBE">
        <w:rPr>
          <w:rFonts w:ascii="Calibri" w:eastAsia="Calibri" w:hAnsi="Calibri" w:cs="Calibri"/>
          <w:lang w:val="fr-CA"/>
        </w:rPr>
        <w:t>Pour en savoir plus, veuillez consulter l</w:t>
      </w:r>
      <w:r w:rsidR="00D731AB" w:rsidRPr="00113EBE">
        <w:rPr>
          <w:rFonts w:ascii="Calibri" w:eastAsia="Calibri" w:hAnsi="Calibri" w:cs="Calibri"/>
          <w:lang w:val="fr-CA"/>
        </w:rPr>
        <w:t>’une ou l’autre d</w:t>
      </w:r>
      <w:r w:rsidRPr="00113EBE">
        <w:rPr>
          <w:rFonts w:ascii="Calibri" w:eastAsia="Calibri" w:hAnsi="Calibri" w:cs="Calibri"/>
          <w:lang w:val="fr-CA"/>
        </w:rPr>
        <w:t xml:space="preserve">es ressources </w:t>
      </w:r>
      <w:r w:rsidR="008D546F">
        <w:rPr>
          <w:rFonts w:ascii="Calibri" w:eastAsia="Calibri" w:hAnsi="Calibri" w:cs="Calibri"/>
          <w:lang w:val="fr-CA"/>
        </w:rPr>
        <w:t xml:space="preserve">suivantes </w:t>
      </w:r>
      <w:r w:rsidRPr="00113EBE">
        <w:rPr>
          <w:rFonts w:ascii="Calibri" w:eastAsia="Calibri" w:hAnsi="Calibri" w:cs="Calibri"/>
          <w:lang w:val="fr-CA"/>
        </w:rPr>
        <w:t>sur les biosimilaires</w:t>
      </w:r>
      <w:r w:rsidR="00D731AB" w:rsidRPr="00113EBE">
        <w:rPr>
          <w:rFonts w:ascii="Calibri" w:eastAsia="Calibri" w:hAnsi="Calibri" w:cs="Calibri"/>
          <w:lang w:val="fr-CA"/>
        </w:rPr>
        <w:t>:</w:t>
      </w:r>
      <w:bookmarkEnd w:id="24"/>
    </w:p>
    <w:p w14:paraId="3E8E3BC0" w14:textId="779CFCC1" w:rsidR="008D72F9" w:rsidRPr="00AE6BED" w:rsidRDefault="00D13784" w:rsidP="00611B31">
      <w:pPr>
        <w:pStyle w:val="ListParagraph"/>
        <w:numPr>
          <w:ilvl w:val="0"/>
          <w:numId w:val="4"/>
        </w:numPr>
        <w:spacing w:line="240" w:lineRule="exact"/>
        <w:rPr>
          <w:rStyle w:val="Hyperlink"/>
          <w:rFonts w:ascii="Calibri" w:eastAsia="Calibri" w:hAnsi="Calibri" w:cs="Calibri"/>
          <w:color w:val="auto"/>
          <w:u w:val="none"/>
          <w:lang w:val="fr-FR"/>
        </w:rPr>
      </w:pPr>
      <w:hyperlink r:id="rId11" w:history="1">
        <w:r w:rsidR="00446370">
          <w:rPr>
            <w:rStyle w:val="Hyperlink"/>
            <w:rFonts w:ascii="Calibri" w:eastAsia="Calibri" w:hAnsi="Calibri" w:cs="Calibri"/>
            <w:lang w:val="fr-FR"/>
          </w:rPr>
          <w:t xml:space="preserve">Santé Canada Médicaments Biosimilaires au </w:t>
        </w:r>
        <w:proofErr w:type="gramStart"/>
        <w:r w:rsidR="00446370">
          <w:rPr>
            <w:rStyle w:val="Hyperlink"/>
            <w:rFonts w:ascii="Calibri" w:eastAsia="Calibri" w:hAnsi="Calibri" w:cs="Calibri"/>
            <w:lang w:val="fr-FR"/>
          </w:rPr>
          <w:t>Canada:</w:t>
        </w:r>
        <w:proofErr w:type="gramEnd"/>
        <w:r w:rsidR="00446370">
          <w:rPr>
            <w:rStyle w:val="Hyperlink"/>
            <w:rFonts w:ascii="Calibri" w:eastAsia="Calibri" w:hAnsi="Calibri" w:cs="Calibri"/>
            <w:lang w:val="fr-FR"/>
          </w:rPr>
          <w:t xml:space="preserve"> Fiche d’</w:t>
        </w:r>
        <w:proofErr w:type="spellStart"/>
        <w:r w:rsidR="00446370">
          <w:rPr>
            <w:rStyle w:val="Hyperlink"/>
            <w:rFonts w:ascii="Calibri" w:eastAsia="Calibri" w:hAnsi="Calibri" w:cs="Calibri"/>
            <w:lang w:val="fr-FR"/>
          </w:rPr>
          <w:t>Information</w:t>
        </w:r>
      </w:hyperlink>
      <w:r w:rsidR="008D72F9" w:rsidRPr="00183FC6">
        <w:rPr>
          <w:rStyle w:val="Hyperlink"/>
          <w:rFonts w:ascii="Calibri" w:eastAsia="Calibri" w:hAnsi="Calibri" w:cs="Calibri"/>
          <w:vertAlign w:val="superscript"/>
        </w:rPr>
        <w:fldChar w:fldCharType="begin"/>
      </w:r>
      <w:r w:rsidR="008D72F9" w:rsidRPr="00E862D7">
        <w:rPr>
          <w:rStyle w:val="Hyperlink"/>
          <w:rFonts w:ascii="Calibri" w:eastAsia="Calibri" w:hAnsi="Calibri" w:cs="Calibri"/>
          <w:vertAlign w:val="superscript"/>
          <w:lang w:val="fr-FR"/>
        </w:rPr>
        <w:instrText xml:space="preserve"> NOTEREF _Ref74570509 \h  \* MERGEFORMAT </w:instrText>
      </w:r>
      <w:r w:rsidR="008D72F9" w:rsidRPr="00183FC6">
        <w:rPr>
          <w:rStyle w:val="Hyperlink"/>
          <w:rFonts w:ascii="Calibri" w:eastAsia="Calibri" w:hAnsi="Calibri" w:cs="Calibri"/>
          <w:vertAlign w:val="superscript"/>
        </w:rPr>
      </w:r>
      <w:r w:rsidR="008D72F9" w:rsidRPr="00183FC6">
        <w:rPr>
          <w:rStyle w:val="Hyperlink"/>
          <w:rFonts w:ascii="Calibri" w:eastAsia="Calibri" w:hAnsi="Calibri" w:cs="Calibri"/>
          <w:vertAlign w:val="superscript"/>
        </w:rPr>
        <w:fldChar w:fldCharType="separate"/>
      </w:r>
      <w:r w:rsidR="008D72F9" w:rsidRPr="00423903">
        <w:rPr>
          <w:rStyle w:val="Hyperlink"/>
          <w:rFonts w:ascii="Calibri" w:eastAsia="Calibri" w:hAnsi="Calibri" w:cs="Calibri"/>
          <w:vertAlign w:val="superscript"/>
          <w:lang w:val="fr-FR"/>
        </w:rPr>
        <w:t>i</w:t>
      </w:r>
      <w:proofErr w:type="spellEnd"/>
      <w:r w:rsidR="008D72F9" w:rsidRPr="00183FC6">
        <w:rPr>
          <w:rStyle w:val="Hyperlink"/>
          <w:rFonts w:ascii="Calibri" w:eastAsia="Calibri" w:hAnsi="Calibri" w:cs="Calibri"/>
          <w:vertAlign w:val="superscript"/>
        </w:rPr>
        <w:fldChar w:fldCharType="end"/>
      </w:r>
    </w:p>
    <w:p w14:paraId="569A43C0" w14:textId="444BF19E" w:rsidR="00611B31" w:rsidRPr="008D72F9" w:rsidRDefault="00D13784" w:rsidP="00611B31">
      <w:pPr>
        <w:pStyle w:val="ListParagraph"/>
        <w:numPr>
          <w:ilvl w:val="0"/>
          <w:numId w:val="4"/>
        </w:numPr>
        <w:spacing w:line="240" w:lineRule="exact"/>
        <w:rPr>
          <w:rFonts w:ascii="Calibri" w:eastAsia="Calibri" w:hAnsi="Calibri" w:cs="Calibri"/>
        </w:rPr>
      </w:pPr>
      <w:hyperlink r:id="rId12" w:history="1">
        <w:r w:rsidR="00CB238A">
          <w:rPr>
            <w:rStyle w:val="Hyperlink"/>
            <w:rFonts w:ascii="Calibri" w:eastAsia="Calibri" w:hAnsi="Calibri" w:cs="Calibri"/>
          </w:rPr>
          <w:t xml:space="preserve">Forum </w:t>
        </w:r>
        <w:proofErr w:type="spellStart"/>
        <w:r w:rsidR="00CB238A">
          <w:rPr>
            <w:rStyle w:val="Hyperlink"/>
            <w:rFonts w:ascii="Calibri" w:eastAsia="Calibri" w:hAnsi="Calibri" w:cs="Calibri"/>
          </w:rPr>
          <w:t>Canadien</w:t>
        </w:r>
        <w:proofErr w:type="spellEnd"/>
        <w:r w:rsidR="00CB238A">
          <w:rPr>
            <w:rStyle w:val="Hyperlink"/>
            <w:rFonts w:ascii="Calibri" w:eastAsia="Calibri" w:hAnsi="Calibri" w:cs="Calibri"/>
          </w:rPr>
          <w:t xml:space="preserve"> des </w:t>
        </w:r>
        <w:proofErr w:type="spellStart"/>
        <w:r w:rsidR="00CB238A">
          <w:rPr>
            <w:rStyle w:val="Hyperlink"/>
            <w:rFonts w:ascii="Calibri" w:eastAsia="Calibri" w:hAnsi="Calibri" w:cs="Calibri"/>
          </w:rPr>
          <w:t>Biosimilaires</w:t>
        </w:r>
        <w:proofErr w:type="spellEnd"/>
      </w:hyperlink>
      <w:r w:rsidR="008D72F9">
        <w:rPr>
          <w:rStyle w:val="EndnoteReference"/>
          <w:rFonts w:ascii="Calibri" w:eastAsia="Calibri" w:hAnsi="Calibri" w:cs="Calibri"/>
          <w:color w:val="0563C1" w:themeColor="hyperlink"/>
          <w:u w:val="single"/>
        </w:rPr>
        <w:endnoteReference w:id="3"/>
      </w:r>
      <w:r w:rsidR="000662AB" w:rsidRPr="008D72F9">
        <w:rPr>
          <w:rStyle w:val="Hyperlink"/>
          <w:rFonts w:ascii="Calibri" w:eastAsia="Calibri" w:hAnsi="Calibri" w:cs="Calibri"/>
        </w:rPr>
        <w:t xml:space="preserve"> </w:t>
      </w:r>
    </w:p>
    <w:p w14:paraId="3B0A9ADF" w14:textId="0BE7F220" w:rsidR="008D72F9" w:rsidRPr="0078004D" w:rsidRDefault="00D13784" w:rsidP="00611B31">
      <w:pPr>
        <w:pStyle w:val="ListParagraph"/>
        <w:numPr>
          <w:ilvl w:val="0"/>
          <w:numId w:val="4"/>
        </w:numPr>
        <w:spacing w:line="240" w:lineRule="exact"/>
        <w:rPr>
          <w:rStyle w:val="Hyperlink"/>
          <w:rFonts w:ascii="Calibri" w:eastAsia="Calibri" w:hAnsi="Calibri" w:cs="Calibri"/>
          <w:color w:val="auto"/>
          <w:u w:val="none"/>
          <w:lang w:val="fr-FR"/>
        </w:rPr>
      </w:pPr>
      <w:hyperlink r:id="rId13" w:history="1">
        <w:r w:rsidR="00EB29AA">
          <w:rPr>
            <w:rStyle w:val="Hyperlink"/>
            <w:lang w:val="fr-FR"/>
          </w:rPr>
          <w:t>Fondation Canadienne de la Sante Digestive (FCSD</w:t>
        </w:r>
        <w:proofErr w:type="gramStart"/>
        <w:r w:rsidR="00EB29AA">
          <w:rPr>
            <w:rStyle w:val="Hyperlink"/>
            <w:lang w:val="fr-FR"/>
          </w:rPr>
          <w:t>):</w:t>
        </w:r>
        <w:proofErr w:type="gramEnd"/>
        <w:r w:rsidR="00EB29AA">
          <w:rPr>
            <w:rStyle w:val="Hyperlink"/>
            <w:lang w:val="fr-FR"/>
          </w:rPr>
          <w:t xml:space="preserve">  Bibliothèque sur les Produits Biosimilaires</w:t>
        </w:r>
      </w:hyperlink>
      <w:r w:rsidR="008D72F9">
        <w:rPr>
          <w:rStyle w:val="EndnoteReference"/>
          <w:color w:val="0563C1" w:themeColor="hyperlink"/>
          <w:u w:val="single"/>
        </w:rPr>
        <w:endnoteReference w:id="4"/>
      </w:r>
    </w:p>
    <w:p w14:paraId="725A08BD" w14:textId="1D37760D" w:rsidR="002F4E77" w:rsidRPr="008D72F9" w:rsidRDefault="00D13784" w:rsidP="00611B31">
      <w:pPr>
        <w:pStyle w:val="ListParagraph"/>
        <w:numPr>
          <w:ilvl w:val="0"/>
          <w:numId w:val="4"/>
        </w:numPr>
        <w:spacing w:line="240" w:lineRule="exact"/>
        <w:rPr>
          <w:rFonts w:ascii="Calibri" w:eastAsia="Calibri" w:hAnsi="Calibri" w:cs="Calibri"/>
        </w:rPr>
      </w:pPr>
      <w:hyperlink r:id="rId14" w:history="1">
        <w:r w:rsidR="00C34B3A">
          <w:rPr>
            <w:rStyle w:val="Hyperlink"/>
            <w:rFonts w:ascii="Calibri" w:eastAsia="Calibri" w:hAnsi="Calibri" w:cs="Calibri"/>
          </w:rPr>
          <w:t xml:space="preserve">Société de </w:t>
        </w:r>
        <w:proofErr w:type="spellStart"/>
        <w:r w:rsidR="00C34B3A">
          <w:rPr>
            <w:rStyle w:val="Hyperlink"/>
            <w:rFonts w:ascii="Calibri" w:eastAsia="Calibri" w:hAnsi="Calibri" w:cs="Calibri"/>
          </w:rPr>
          <w:t>l’arthrite</w:t>
        </w:r>
        <w:proofErr w:type="spellEnd"/>
      </w:hyperlink>
      <w:r w:rsidR="008D72F9">
        <w:rPr>
          <w:rStyle w:val="EndnoteReference"/>
          <w:rFonts w:ascii="Calibri" w:eastAsia="Calibri" w:hAnsi="Calibri" w:cs="Calibri"/>
          <w:color w:val="0563C1" w:themeColor="hyperlink"/>
          <w:u w:val="single"/>
        </w:rPr>
        <w:endnoteReference w:id="5"/>
      </w:r>
      <w:r w:rsidR="008D72F9">
        <w:rPr>
          <w:rFonts w:ascii="Calibri" w:eastAsia="Calibri" w:hAnsi="Calibri" w:cs="Calibri"/>
        </w:rPr>
        <w:t xml:space="preserve"> </w:t>
      </w:r>
      <w:r w:rsidR="000662AB" w:rsidRPr="008D72F9">
        <w:rPr>
          <w:rFonts w:ascii="Calibri" w:eastAsia="Calibri" w:hAnsi="Calibri" w:cs="Calibri"/>
        </w:rPr>
        <w:t xml:space="preserve"> </w:t>
      </w:r>
    </w:p>
    <w:p w14:paraId="4CA7434A" w14:textId="7B94E991" w:rsidR="00FB623B" w:rsidRPr="002F4D65" w:rsidRDefault="00D13784" w:rsidP="00FB623B">
      <w:pPr>
        <w:pStyle w:val="ListParagraph"/>
        <w:numPr>
          <w:ilvl w:val="0"/>
          <w:numId w:val="4"/>
        </w:numPr>
        <w:spacing w:line="240" w:lineRule="exact"/>
        <w:rPr>
          <w:rFonts w:ascii="Calibri" w:eastAsia="Calibri" w:hAnsi="Calibri" w:cs="Calibri"/>
          <w:lang w:val="fr-CA"/>
        </w:rPr>
      </w:pPr>
      <w:hyperlink r:id="rId15" w:history="1">
        <w:r w:rsidR="00B21DDB">
          <w:rPr>
            <w:rStyle w:val="Hyperlink"/>
            <w:rFonts w:ascii="Calibri" w:eastAsia="Calibri" w:hAnsi="Calibri" w:cs="Calibri"/>
          </w:rPr>
          <w:t xml:space="preserve">Arthritis Consumer Experts (ACE): </w:t>
        </w:r>
        <w:proofErr w:type="spellStart"/>
        <w:r w:rsidR="00B21DDB">
          <w:rPr>
            <w:rStyle w:val="Hyperlink"/>
            <w:rFonts w:ascii="Calibri" w:eastAsia="Calibri" w:hAnsi="Calibri" w:cs="Calibri"/>
          </w:rPr>
          <w:t>L’Échange</w:t>
        </w:r>
        <w:proofErr w:type="spellEnd"/>
        <w:r w:rsidR="00B21DDB">
          <w:rPr>
            <w:rStyle w:val="Hyperlink"/>
            <w:rFonts w:ascii="Calibri" w:eastAsia="Calibri" w:hAnsi="Calibri" w:cs="Calibri"/>
          </w:rPr>
          <w:t xml:space="preserve"> </w:t>
        </w:r>
        <w:proofErr w:type="spellStart"/>
        <w:r w:rsidR="00B21DDB">
          <w:rPr>
            <w:rStyle w:val="Hyperlink"/>
            <w:rFonts w:ascii="Calibri" w:eastAsia="Calibri" w:hAnsi="Calibri" w:cs="Calibri"/>
          </w:rPr>
          <w:t>Biosim</w:t>
        </w:r>
        <w:proofErr w:type="spellEnd"/>
      </w:hyperlink>
      <w:r w:rsidR="008D72F9">
        <w:rPr>
          <w:rStyle w:val="EndnoteReference"/>
          <w:rFonts w:ascii="Calibri" w:eastAsia="Calibri" w:hAnsi="Calibri" w:cs="Calibri"/>
          <w:color w:val="0563C1" w:themeColor="hyperlink"/>
          <w:u w:val="single"/>
        </w:rPr>
        <w:endnoteReference w:id="6"/>
      </w:r>
    </w:p>
    <w:p w14:paraId="4A45441B" w14:textId="77777777" w:rsidR="00FC6E58" w:rsidRPr="00113EBE" w:rsidRDefault="00D13784" w:rsidP="00DD12F2">
      <w:pPr>
        <w:pStyle w:val="ListParagraph"/>
        <w:spacing w:line="240" w:lineRule="exact"/>
        <w:rPr>
          <w:rFonts w:ascii="Calibri" w:eastAsia="Calibri" w:hAnsi="Calibri" w:cs="Calibri"/>
          <w:lang w:val="fr-CA"/>
        </w:rPr>
      </w:pPr>
    </w:p>
    <w:p w14:paraId="02B7BC4A" w14:textId="7A3152F5" w:rsidR="0054100D" w:rsidRPr="00602946" w:rsidRDefault="00682FCD" w:rsidP="00A751CC">
      <w:pPr>
        <w:spacing w:line="240" w:lineRule="exact"/>
        <w:rPr>
          <w:rFonts w:ascii="Calibri" w:eastAsia="Calibri" w:hAnsi="Calibri" w:cs="Calibri"/>
          <w:b/>
          <w:bCs/>
          <w:lang w:val="fr-CA"/>
        </w:rPr>
      </w:pPr>
      <w:bookmarkStart w:id="25" w:name="lt_pId031"/>
      <w:r w:rsidRPr="00602946">
        <w:rPr>
          <w:rFonts w:ascii="Calibri" w:eastAsia="Calibri" w:hAnsi="Calibri" w:cs="Calibri"/>
          <w:b/>
          <w:bCs/>
          <w:lang w:val="fr-CA"/>
        </w:rPr>
        <w:t>L’expérience canadienne :</w:t>
      </w:r>
      <w:bookmarkEnd w:id="25"/>
      <w:r w:rsidR="000662AB" w:rsidRPr="00602946">
        <w:rPr>
          <w:rFonts w:ascii="Calibri" w:eastAsia="Calibri" w:hAnsi="Calibri" w:cs="Calibri"/>
          <w:b/>
          <w:bCs/>
          <w:lang w:val="fr-CA"/>
        </w:rPr>
        <w:t xml:space="preserve"> </w:t>
      </w:r>
    </w:p>
    <w:p w14:paraId="7E6AA07C" w14:textId="145FCA2C" w:rsidR="00DE38DF" w:rsidRPr="00113EBE" w:rsidRDefault="00682FCD" w:rsidP="00A751CC">
      <w:pPr>
        <w:spacing w:line="240" w:lineRule="exact"/>
        <w:rPr>
          <w:rFonts w:ascii="Calibri" w:eastAsia="Calibri" w:hAnsi="Calibri" w:cs="Calibri"/>
          <w:lang w:val="fr-CA"/>
        </w:rPr>
      </w:pPr>
      <w:bookmarkStart w:id="26" w:name="lt_pId032"/>
      <w:r w:rsidRPr="00602946">
        <w:rPr>
          <w:rFonts w:ascii="Calibri" w:eastAsia="Calibri" w:hAnsi="Calibri" w:cs="Calibri"/>
          <w:lang w:val="fr-CA"/>
        </w:rPr>
        <w:t xml:space="preserve">Les biosimilaires ne sont pas nouveaux au </w:t>
      </w:r>
      <w:r w:rsidR="000662AB" w:rsidRPr="00602946">
        <w:rPr>
          <w:rFonts w:ascii="Calibri" w:eastAsia="Calibri" w:hAnsi="Calibri" w:cs="Calibri"/>
          <w:lang w:val="fr-CA"/>
        </w:rPr>
        <w:t>Canada.</w:t>
      </w:r>
      <w:bookmarkEnd w:id="26"/>
      <w:r w:rsidR="000662AB" w:rsidRPr="00602946">
        <w:rPr>
          <w:rFonts w:ascii="Calibri" w:eastAsia="Calibri" w:hAnsi="Calibri" w:cs="Calibri"/>
          <w:lang w:val="fr-CA"/>
        </w:rPr>
        <w:t xml:space="preserve"> </w:t>
      </w:r>
      <w:bookmarkStart w:id="27" w:name="lt_pId033"/>
      <w:r w:rsidRPr="00602946">
        <w:rPr>
          <w:rFonts w:ascii="Calibri" w:eastAsia="Calibri" w:hAnsi="Calibri" w:cs="Calibri"/>
          <w:lang w:val="fr-CA"/>
        </w:rPr>
        <w:t xml:space="preserve">Depuis 2014, Santé </w:t>
      </w:r>
      <w:r w:rsidR="000662AB" w:rsidRPr="00602946">
        <w:rPr>
          <w:rFonts w:ascii="Calibri" w:eastAsia="Calibri" w:hAnsi="Calibri" w:cs="Calibri"/>
          <w:lang w:val="fr-CA"/>
        </w:rPr>
        <w:t xml:space="preserve">Canada </w:t>
      </w:r>
      <w:r w:rsidRPr="00602946">
        <w:rPr>
          <w:rFonts w:ascii="Calibri" w:eastAsia="Calibri" w:hAnsi="Calibri" w:cs="Calibri"/>
          <w:lang w:val="fr-CA"/>
        </w:rPr>
        <w:t>en a approuvé plus de 35</w:t>
      </w:r>
      <w:r w:rsidR="000662AB" w:rsidRPr="00602946">
        <w:rPr>
          <w:rStyle w:val="EndnoteReference"/>
          <w:rFonts w:ascii="Calibri" w:eastAsia="Calibri" w:hAnsi="Calibri" w:cs="Calibri"/>
          <w:lang w:val="fr-CA"/>
        </w:rPr>
        <w:endnoteReference w:id="7"/>
      </w:r>
      <w:r w:rsidR="000662AB" w:rsidRPr="00602946">
        <w:rPr>
          <w:rFonts w:ascii="Calibri" w:eastAsia="Calibri" w:hAnsi="Calibri" w:cs="Calibri"/>
          <w:lang w:val="fr-CA"/>
        </w:rPr>
        <w:t>.</w:t>
      </w:r>
      <w:bookmarkEnd w:id="27"/>
      <w:r w:rsidR="000662AB" w:rsidRPr="00602946">
        <w:rPr>
          <w:rFonts w:ascii="Calibri" w:eastAsia="Calibri" w:hAnsi="Calibri" w:cs="Calibri"/>
          <w:lang w:val="fr-CA"/>
        </w:rPr>
        <w:t xml:space="preserve"> </w:t>
      </w:r>
      <w:bookmarkStart w:id="29" w:name="lt_pId034"/>
      <w:r w:rsidRPr="00602946">
        <w:rPr>
          <w:rFonts w:ascii="Calibri" w:eastAsia="Calibri" w:hAnsi="Calibri" w:cs="Calibri"/>
          <w:lang w:val="fr-CA"/>
        </w:rPr>
        <w:t>Les biosimilaires</w:t>
      </w:r>
      <w:r w:rsidRPr="00113EBE">
        <w:rPr>
          <w:rFonts w:ascii="Calibri" w:eastAsia="Calibri" w:hAnsi="Calibri" w:cs="Calibri"/>
          <w:lang w:val="fr-CA"/>
        </w:rPr>
        <w:t xml:space="preserve"> sont remboursés par les régimes privés d’assurance médicaments depuis </w:t>
      </w:r>
      <w:r w:rsidR="000662AB" w:rsidRPr="00113EBE">
        <w:rPr>
          <w:rFonts w:ascii="Calibri" w:eastAsia="Calibri" w:hAnsi="Calibri" w:cs="Calibri"/>
          <w:lang w:val="fr-CA"/>
        </w:rPr>
        <w:t>2015.</w:t>
      </w:r>
      <w:bookmarkEnd w:id="29"/>
    </w:p>
    <w:p w14:paraId="6D9C6F5A" w14:textId="04B8818C" w:rsidR="005923AA" w:rsidRPr="00113EBE" w:rsidRDefault="000B2BB0" w:rsidP="00A751CC">
      <w:pPr>
        <w:spacing w:line="240" w:lineRule="exact"/>
        <w:rPr>
          <w:rFonts w:ascii="Calibri" w:eastAsia="Calibri" w:hAnsi="Calibri" w:cs="Calibri"/>
          <w:lang w:val="fr-CA"/>
        </w:rPr>
      </w:pPr>
      <w:bookmarkStart w:id="30" w:name="lt_pId035"/>
      <w:r w:rsidRPr="00113EBE">
        <w:rPr>
          <w:rFonts w:ascii="Calibri" w:eastAsia="Calibri" w:hAnsi="Calibri" w:cs="Calibri"/>
          <w:lang w:val="fr-CA"/>
        </w:rPr>
        <w:t>M</w:t>
      </w:r>
      <w:r w:rsidR="0052642D" w:rsidRPr="00113EBE">
        <w:rPr>
          <w:rFonts w:ascii="Calibri" w:eastAsia="Calibri" w:hAnsi="Calibri" w:cs="Calibri"/>
          <w:lang w:val="fr-CA"/>
        </w:rPr>
        <w:t xml:space="preserve">ême s’ils peuvent être jusqu’à </w:t>
      </w:r>
      <w:r w:rsidR="000662AB" w:rsidRPr="00113EBE">
        <w:rPr>
          <w:rFonts w:ascii="Calibri" w:eastAsia="Calibri" w:hAnsi="Calibri" w:cs="Calibri"/>
          <w:lang w:val="fr-CA"/>
        </w:rPr>
        <w:t>50</w:t>
      </w:r>
      <w:r w:rsidR="0052642D" w:rsidRPr="00113EBE">
        <w:rPr>
          <w:rFonts w:ascii="Calibri" w:eastAsia="Calibri" w:hAnsi="Calibri" w:cs="Calibri"/>
          <w:lang w:val="fr-CA"/>
        </w:rPr>
        <w:t> </w:t>
      </w:r>
      <w:r w:rsidR="000662AB" w:rsidRPr="00113EBE">
        <w:rPr>
          <w:rFonts w:ascii="Calibri" w:eastAsia="Calibri" w:hAnsi="Calibri" w:cs="Calibri"/>
          <w:lang w:val="fr-CA"/>
        </w:rPr>
        <w:t xml:space="preserve">% </w:t>
      </w:r>
      <w:r w:rsidR="0052642D" w:rsidRPr="00113EBE">
        <w:rPr>
          <w:rFonts w:ascii="Calibri" w:eastAsia="Calibri" w:hAnsi="Calibri" w:cs="Calibri"/>
          <w:lang w:val="fr-CA"/>
        </w:rPr>
        <w:t>moins coûteux que les médicaments biologiques de référence, les médicaments biosimilaires demeurent peu utilisés au Canada dans le traitement des maladies chroniques</w:t>
      </w:r>
      <w:r w:rsidR="000662AB" w:rsidRPr="00113EBE">
        <w:rPr>
          <w:rStyle w:val="EndnoteReference"/>
          <w:rFonts w:ascii="Calibri" w:eastAsia="Calibri" w:hAnsi="Calibri" w:cs="Calibri"/>
          <w:lang w:val="fr-CA"/>
        </w:rPr>
        <w:endnoteReference w:id="8"/>
      </w:r>
      <w:r w:rsidR="000662AB" w:rsidRPr="00113EBE">
        <w:rPr>
          <w:rFonts w:ascii="Calibri" w:eastAsia="Calibri" w:hAnsi="Calibri" w:cs="Calibri"/>
          <w:lang w:val="fr-CA"/>
        </w:rPr>
        <w:t>.</w:t>
      </w:r>
      <w:bookmarkEnd w:id="30"/>
      <w:r w:rsidR="000662AB" w:rsidRPr="00113EBE">
        <w:rPr>
          <w:rFonts w:ascii="Calibri" w:eastAsia="Calibri" w:hAnsi="Calibri" w:cs="Calibri"/>
          <w:lang w:val="fr-CA"/>
        </w:rPr>
        <w:t xml:space="preserve"> </w:t>
      </w:r>
    </w:p>
    <w:p w14:paraId="5A059395" w14:textId="17FDC2FC" w:rsidR="005923AA" w:rsidRPr="00113EBE" w:rsidRDefault="0052642D" w:rsidP="00A751CC">
      <w:pPr>
        <w:spacing w:line="240" w:lineRule="exact"/>
        <w:rPr>
          <w:rFonts w:ascii="Calibri" w:eastAsia="Calibri" w:hAnsi="Calibri" w:cs="Calibri"/>
          <w:lang w:val="fr-CA"/>
        </w:rPr>
      </w:pPr>
      <w:bookmarkStart w:id="31" w:name="lt_pId036"/>
      <w:r w:rsidRPr="00113EBE">
        <w:rPr>
          <w:rFonts w:ascii="Calibri" w:eastAsia="Calibri" w:hAnsi="Calibri" w:cs="Calibri"/>
          <w:lang w:val="fr-CA"/>
        </w:rPr>
        <w:t>Pour bénéficier pleinement des avantages potentiels des biosimilaires, les régimes publics d’assurance médicaments de la Colombie-Britannique, de l’Alberta, du Nouveau-Brunswick et du Québec ont mis en œuvre ou annoncé des politiques de transition vers les biosimilaires pour les patients actuels.</w:t>
      </w:r>
      <w:bookmarkEnd w:id="31"/>
      <w:r w:rsidR="000662AB" w:rsidRPr="00113EBE">
        <w:rPr>
          <w:rFonts w:ascii="Calibri" w:eastAsia="Calibri" w:hAnsi="Calibri" w:cs="Calibri"/>
          <w:lang w:val="fr-CA"/>
        </w:rPr>
        <w:t xml:space="preserve">  </w:t>
      </w:r>
    </w:p>
    <w:p w14:paraId="001DC19F" w14:textId="6C2B79D2" w:rsidR="009B21B0" w:rsidRPr="000C7BFC" w:rsidRDefault="00453F63" w:rsidP="009B21B0">
      <w:pPr>
        <w:spacing w:line="240" w:lineRule="exact"/>
        <w:rPr>
          <w:rFonts w:ascii="Calibri" w:eastAsia="Calibri" w:hAnsi="Calibri" w:cs="Calibri"/>
          <w:lang w:val="fr-CA"/>
        </w:rPr>
      </w:pPr>
      <w:bookmarkStart w:id="32" w:name="lt_pId037"/>
      <w:r w:rsidRPr="00113EBE">
        <w:rPr>
          <w:rFonts w:ascii="Calibri" w:eastAsia="Calibri" w:hAnsi="Calibri" w:cs="Calibri"/>
          <w:lang w:val="fr-CA"/>
        </w:rPr>
        <w:t>Bon nombre d’assureurs privés ont eux aussi mis en œuvre de</w:t>
      </w:r>
      <w:r w:rsidR="00521065">
        <w:rPr>
          <w:rFonts w:ascii="Calibri" w:eastAsia="Calibri" w:hAnsi="Calibri" w:cs="Calibri"/>
          <w:lang w:val="fr-CA"/>
        </w:rPr>
        <w:t xml:space="preserve"> telles </w:t>
      </w:r>
      <w:r w:rsidRPr="00113EBE">
        <w:rPr>
          <w:rFonts w:ascii="Calibri" w:eastAsia="Calibri" w:hAnsi="Calibri" w:cs="Calibri"/>
          <w:lang w:val="fr-CA"/>
        </w:rPr>
        <w:t xml:space="preserve">politiques, principalement pour bénéficier de la coordination en matière de couverture avec les politiques de transition des régimes publics. </w:t>
      </w:r>
      <w:bookmarkStart w:id="33" w:name="lt_pId038"/>
      <w:bookmarkEnd w:id="32"/>
      <w:r w:rsidR="001A5E45">
        <w:rPr>
          <w:rFonts w:ascii="Calibri" w:eastAsia="Calibri" w:hAnsi="Calibri" w:cs="Calibri"/>
          <w:lang w:val="fr-CA"/>
        </w:rPr>
        <w:t xml:space="preserve">Des </w:t>
      </w:r>
      <w:r w:rsidRPr="00113EBE">
        <w:rPr>
          <w:rFonts w:ascii="Calibri" w:eastAsia="Calibri" w:hAnsi="Calibri" w:cs="Calibri"/>
          <w:lang w:val="fr-CA"/>
        </w:rPr>
        <w:t>taux élevés de passage aux biosimilaires</w:t>
      </w:r>
      <w:r w:rsidR="001A5E45">
        <w:rPr>
          <w:rFonts w:ascii="Calibri" w:eastAsia="Calibri" w:hAnsi="Calibri" w:cs="Calibri"/>
          <w:lang w:val="fr-CA"/>
        </w:rPr>
        <w:t xml:space="preserve">, le </w:t>
      </w:r>
      <w:r w:rsidRPr="00113EBE">
        <w:rPr>
          <w:rFonts w:ascii="Calibri" w:eastAsia="Calibri" w:hAnsi="Calibri" w:cs="Calibri"/>
          <w:lang w:val="fr-CA"/>
        </w:rPr>
        <w:t xml:space="preserve">maintien des </w:t>
      </w:r>
      <w:r w:rsidR="008D546F">
        <w:rPr>
          <w:rFonts w:ascii="Calibri" w:eastAsia="Calibri" w:hAnsi="Calibri" w:cs="Calibri"/>
          <w:lang w:val="fr-CA"/>
        </w:rPr>
        <w:t>bénéfices cliniques</w:t>
      </w:r>
      <w:r w:rsidRPr="00113EBE">
        <w:rPr>
          <w:rFonts w:ascii="Calibri" w:eastAsia="Calibri" w:hAnsi="Calibri" w:cs="Calibri"/>
          <w:lang w:val="fr-CA"/>
        </w:rPr>
        <w:t xml:space="preserve"> pour les patients, </w:t>
      </w:r>
      <w:r w:rsidR="001A5E45">
        <w:rPr>
          <w:rFonts w:ascii="Calibri" w:eastAsia="Calibri" w:hAnsi="Calibri" w:cs="Calibri"/>
          <w:lang w:val="fr-CA"/>
        </w:rPr>
        <w:t>l’</w:t>
      </w:r>
      <w:r w:rsidRPr="00113EBE">
        <w:rPr>
          <w:rFonts w:ascii="Calibri" w:eastAsia="Calibri" w:hAnsi="Calibri" w:cs="Calibri"/>
          <w:lang w:val="fr-CA"/>
        </w:rPr>
        <w:t>absence d’augmentation de l’utilisation des ressources de soins de santé et la réalisation d’économies substantielles</w:t>
      </w:r>
      <w:bookmarkEnd w:id="33"/>
      <w:r w:rsidR="001A5E45">
        <w:rPr>
          <w:rFonts w:ascii="Calibri" w:eastAsia="Calibri" w:hAnsi="Calibri" w:cs="Calibri"/>
          <w:lang w:val="fr-CA"/>
        </w:rPr>
        <w:t xml:space="preserve"> sont les principaux résultats de ces politiques canadiennes.</w:t>
      </w:r>
    </w:p>
    <w:p w14:paraId="1099A584" w14:textId="77777777" w:rsidR="009B21B0" w:rsidRPr="00C251E8" w:rsidRDefault="00D13784" w:rsidP="009B21B0">
      <w:pPr>
        <w:pStyle w:val="ListParagraph"/>
        <w:numPr>
          <w:ilvl w:val="0"/>
          <w:numId w:val="8"/>
        </w:numPr>
        <w:spacing w:line="240" w:lineRule="exact"/>
        <w:rPr>
          <w:rFonts w:ascii="Calibri" w:eastAsia="Calibri" w:hAnsi="Calibri" w:cs="Calibri"/>
          <w:b/>
          <w:bCs/>
        </w:rPr>
      </w:pPr>
      <w:hyperlink r:id="rId16" w:history="1">
        <w:bookmarkStart w:id="34" w:name="lt_pId039"/>
        <w:r w:rsidR="009B21B0" w:rsidRPr="00C251E8">
          <w:rPr>
            <w:rStyle w:val="Hyperlink"/>
          </w:rPr>
          <w:t>British Columbia Biosimilars Initiative Data</w:t>
        </w:r>
        <w:bookmarkEnd w:id="34"/>
      </w:hyperlink>
      <w:r w:rsidR="009B21B0" w:rsidRPr="00C251E8">
        <w:rPr>
          <w:rStyle w:val="EndnoteReference"/>
          <w:color w:val="0563C1" w:themeColor="hyperlink"/>
          <w:u w:val="single"/>
        </w:rPr>
        <w:endnoteReference w:id="9"/>
      </w:r>
    </w:p>
    <w:p w14:paraId="716F67A2" w14:textId="77777777" w:rsidR="009B21B0" w:rsidRPr="00C251E8" w:rsidRDefault="00D13784" w:rsidP="009B21B0">
      <w:pPr>
        <w:pStyle w:val="ListParagraph"/>
        <w:numPr>
          <w:ilvl w:val="0"/>
          <w:numId w:val="8"/>
        </w:numPr>
        <w:spacing w:line="240" w:lineRule="exact"/>
        <w:rPr>
          <w:rFonts w:ascii="Calibri" w:eastAsia="Calibri" w:hAnsi="Calibri" w:cs="Calibri"/>
          <w:b/>
          <w:bCs/>
        </w:rPr>
      </w:pPr>
      <w:hyperlink r:id="rId17" w:history="1">
        <w:bookmarkStart w:id="36" w:name="lt_pId040"/>
        <w:r w:rsidR="009B21B0" w:rsidRPr="00C251E8">
          <w:rPr>
            <w:rStyle w:val="Hyperlink"/>
          </w:rPr>
          <w:t>British Columbia Biosimilars Initiative health services utilization</w:t>
        </w:r>
        <w:bookmarkEnd w:id="36"/>
      </w:hyperlink>
      <w:r w:rsidR="009B21B0" w:rsidRPr="00C251E8">
        <w:rPr>
          <w:rStyle w:val="EndnoteReference"/>
          <w:color w:val="0563C1" w:themeColor="hyperlink"/>
          <w:u w:val="single"/>
        </w:rPr>
        <w:endnoteReference w:id="10"/>
      </w:r>
    </w:p>
    <w:p w14:paraId="59E7A047" w14:textId="6FCF9E87" w:rsidR="009B21B0" w:rsidRPr="00C251E8" w:rsidRDefault="00D13784" w:rsidP="009B21B0">
      <w:pPr>
        <w:pStyle w:val="ListParagraph"/>
        <w:numPr>
          <w:ilvl w:val="0"/>
          <w:numId w:val="8"/>
        </w:numPr>
        <w:spacing w:line="240" w:lineRule="exact"/>
        <w:rPr>
          <w:rFonts w:ascii="Calibri" w:eastAsia="Calibri" w:hAnsi="Calibri" w:cs="Calibri"/>
          <w:b/>
          <w:bCs/>
        </w:rPr>
      </w:pPr>
      <w:hyperlink r:id="rId18" w:history="1">
        <w:bookmarkStart w:id="38" w:name="lt_pId041"/>
        <w:r w:rsidR="009B21B0" w:rsidRPr="00C251E8">
          <w:rPr>
            <w:rStyle w:val="Hyperlink"/>
          </w:rPr>
          <w:t>Albert</w:t>
        </w:r>
        <w:r w:rsidR="00C251E8" w:rsidRPr="00C251E8">
          <w:rPr>
            <w:rStyle w:val="Hyperlink"/>
          </w:rPr>
          <w:t>a</w:t>
        </w:r>
        <w:r w:rsidR="009B21B0" w:rsidRPr="00C251E8">
          <w:rPr>
            <w:rStyle w:val="Hyperlink"/>
          </w:rPr>
          <w:t xml:space="preserve"> Biosimilars Initiative Data</w:t>
        </w:r>
        <w:bookmarkEnd w:id="38"/>
      </w:hyperlink>
      <w:r w:rsidR="009B21B0" w:rsidRPr="00C251E8">
        <w:rPr>
          <w:rStyle w:val="EndnoteReference"/>
          <w:color w:val="0563C1" w:themeColor="hyperlink"/>
          <w:u w:val="single"/>
        </w:rPr>
        <w:endnoteReference w:id="11"/>
      </w:r>
    </w:p>
    <w:p w14:paraId="25FC9B89" w14:textId="77777777" w:rsidR="009B21B0" w:rsidRPr="00C251E8" w:rsidRDefault="00D13784" w:rsidP="009B21B0">
      <w:pPr>
        <w:pStyle w:val="ListParagraph"/>
        <w:numPr>
          <w:ilvl w:val="0"/>
          <w:numId w:val="8"/>
        </w:numPr>
        <w:spacing w:line="240" w:lineRule="exact"/>
        <w:rPr>
          <w:rFonts w:ascii="Calibri" w:eastAsia="Calibri" w:hAnsi="Calibri" w:cs="Calibri"/>
          <w:b/>
          <w:bCs/>
        </w:rPr>
      </w:pPr>
      <w:hyperlink r:id="rId19" w:history="1">
        <w:bookmarkStart w:id="40" w:name="lt_pId042"/>
        <w:r w:rsidR="009B21B0" w:rsidRPr="00C251E8">
          <w:rPr>
            <w:rStyle w:val="Hyperlink"/>
          </w:rPr>
          <w:t>Pacific Blue Cross Biosimilar Transition Policy</w:t>
        </w:r>
        <w:bookmarkEnd w:id="40"/>
      </w:hyperlink>
      <w:bookmarkStart w:id="41" w:name="_Ref74571408"/>
      <w:r w:rsidR="009B21B0" w:rsidRPr="00C251E8">
        <w:rPr>
          <w:rStyle w:val="EndnoteReference"/>
          <w:color w:val="0563C1" w:themeColor="hyperlink"/>
          <w:u w:val="single"/>
        </w:rPr>
        <w:endnoteReference w:id="12"/>
      </w:r>
      <w:bookmarkEnd w:id="41"/>
    </w:p>
    <w:p w14:paraId="695D4DE2" w14:textId="3D42CFD0" w:rsidR="00177C42" w:rsidRPr="00D13784" w:rsidRDefault="00D13784" w:rsidP="00A751CC">
      <w:pPr>
        <w:pStyle w:val="ListParagraph"/>
        <w:numPr>
          <w:ilvl w:val="0"/>
          <w:numId w:val="8"/>
        </w:numPr>
        <w:spacing w:line="240" w:lineRule="exact"/>
        <w:rPr>
          <w:rFonts w:ascii="Calibri" w:eastAsia="Calibri" w:hAnsi="Calibri" w:cs="Calibri"/>
          <w:b/>
          <w:bCs/>
        </w:rPr>
      </w:pPr>
      <w:hyperlink r:id="rId20" w:history="1">
        <w:bookmarkStart w:id="43" w:name="lt_pId043"/>
        <w:r w:rsidR="009B21B0" w:rsidRPr="00C251E8">
          <w:rPr>
            <w:rStyle w:val="Hyperlink"/>
          </w:rPr>
          <w:t>Green Shield Biosimilar Transition Policy</w:t>
        </w:r>
        <w:bookmarkEnd w:id="43"/>
      </w:hyperlink>
      <w:bookmarkStart w:id="44" w:name="_Ref74571363"/>
      <w:r w:rsidR="009B21B0">
        <w:rPr>
          <w:rStyle w:val="EndnoteReference"/>
          <w:color w:val="0563C1" w:themeColor="hyperlink"/>
          <w:u w:val="single"/>
        </w:rPr>
        <w:endnoteReference w:id="13"/>
      </w:r>
      <w:bookmarkEnd w:id="44"/>
    </w:p>
    <w:p w14:paraId="09D06DC4" w14:textId="2C0BEF3E" w:rsidR="00A42E32" w:rsidRPr="00113EBE" w:rsidRDefault="00452434" w:rsidP="00A751CC">
      <w:pPr>
        <w:spacing w:line="240" w:lineRule="exact"/>
        <w:rPr>
          <w:rFonts w:ascii="Calibri" w:eastAsia="Calibri" w:hAnsi="Calibri" w:cs="Calibri"/>
          <w:b/>
          <w:bCs/>
          <w:lang w:val="fr-CA"/>
        </w:rPr>
      </w:pPr>
      <w:bookmarkStart w:id="46" w:name="lt_pId044"/>
      <w:r w:rsidRPr="00C251E8">
        <w:rPr>
          <w:rFonts w:ascii="Calibri" w:eastAsia="Calibri" w:hAnsi="Calibri" w:cs="Calibri"/>
          <w:b/>
          <w:bCs/>
          <w:lang w:val="fr-CA"/>
        </w:rPr>
        <w:lastRenderedPageBreak/>
        <w:t>Considérations financières :</w:t>
      </w:r>
      <w:bookmarkEnd w:id="46"/>
    </w:p>
    <w:p w14:paraId="775F9098" w14:textId="508027F2" w:rsidR="00E712D8" w:rsidRPr="00113EBE" w:rsidRDefault="00093443" w:rsidP="00A751CC">
      <w:pPr>
        <w:spacing w:line="240" w:lineRule="exact"/>
        <w:rPr>
          <w:rFonts w:ascii="Calibri" w:eastAsia="Calibri" w:hAnsi="Calibri" w:cs="Calibri"/>
          <w:lang w:val="fr-CA"/>
        </w:rPr>
      </w:pPr>
      <w:bookmarkStart w:id="47" w:name="lt_pId045"/>
      <w:r w:rsidRPr="00113EBE">
        <w:rPr>
          <w:rFonts w:ascii="Calibri" w:eastAsia="Calibri" w:hAnsi="Calibri" w:cs="Calibri"/>
          <w:lang w:val="fr-CA"/>
        </w:rPr>
        <w:t xml:space="preserve">Les biosimilaires </w:t>
      </w:r>
      <w:r w:rsidR="001A5E45">
        <w:rPr>
          <w:rFonts w:ascii="Calibri" w:eastAsia="Calibri" w:hAnsi="Calibri" w:cs="Calibri"/>
          <w:lang w:val="fr-CA"/>
        </w:rPr>
        <w:t>jouent</w:t>
      </w:r>
      <w:r w:rsidRPr="00113EBE">
        <w:rPr>
          <w:rFonts w:ascii="Calibri" w:eastAsia="Calibri" w:hAnsi="Calibri" w:cs="Calibri"/>
          <w:lang w:val="fr-CA"/>
        </w:rPr>
        <w:t xml:space="preserve"> un rôle essentiel pour la durabilité des régimes d’assurance médicament</w:t>
      </w:r>
      <w:r w:rsidR="00725F62">
        <w:rPr>
          <w:rFonts w:ascii="Calibri" w:eastAsia="Calibri" w:hAnsi="Calibri" w:cs="Calibri"/>
          <w:lang w:val="fr-CA"/>
        </w:rPr>
        <w:t>s</w:t>
      </w:r>
      <w:r w:rsidR="00F87D7A">
        <w:rPr>
          <w:rFonts w:ascii="Calibri" w:eastAsia="Calibri" w:hAnsi="Calibri" w:cs="Calibri"/>
          <w:lang w:val="fr-CA"/>
        </w:rPr>
        <w:t>,</w:t>
      </w:r>
      <w:r w:rsidRPr="00113EBE">
        <w:rPr>
          <w:rFonts w:ascii="Calibri" w:eastAsia="Calibri" w:hAnsi="Calibri" w:cs="Calibri"/>
          <w:lang w:val="fr-CA"/>
        </w:rPr>
        <w:t xml:space="preserve"> car ce sont des options sûres et efficaces</w:t>
      </w:r>
      <w:r w:rsidR="001A5E45">
        <w:rPr>
          <w:rFonts w:ascii="Calibri" w:eastAsia="Calibri" w:hAnsi="Calibri" w:cs="Calibri"/>
          <w:lang w:val="fr-CA"/>
        </w:rPr>
        <w:t>,</w:t>
      </w:r>
      <w:r w:rsidRPr="00113EBE">
        <w:rPr>
          <w:rFonts w:ascii="Calibri" w:eastAsia="Calibri" w:hAnsi="Calibri" w:cs="Calibri"/>
          <w:lang w:val="fr-CA"/>
        </w:rPr>
        <w:t xml:space="preserve"> qui offrent la possibilité aux promoteurs des régimes et à leurs participants de réaliser des économies substantielles. </w:t>
      </w:r>
      <w:bookmarkStart w:id="48" w:name="lt_pId046"/>
      <w:bookmarkEnd w:id="47"/>
      <w:r w:rsidRPr="00113EBE">
        <w:rPr>
          <w:rFonts w:ascii="Calibri" w:eastAsia="Calibri" w:hAnsi="Calibri" w:cs="Calibri"/>
          <w:lang w:val="fr-CA"/>
        </w:rPr>
        <w:t>On estime que les biosimilaires pourraient permettre aux régimes publics et privés d’assurance médicaments d’économiser jusqu’à 1,8 milliard de dollars par an</w:t>
      </w:r>
      <w:r w:rsidR="000662AB" w:rsidRPr="00113EBE">
        <w:rPr>
          <w:rStyle w:val="EndnoteReference"/>
          <w:rFonts w:ascii="Calibri" w:eastAsia="Calibri" w:hAnsi="Calibri" w:cs="Calibri"/>
          <w:lang w:val="fr-CA"/>
        </w:rPr>
        <w:endnoteReference w:id="14"/>
      </w:r>
      <w:r w:rsidR="000662AB" w:rsidRPr="00113EBE">
        <w:rPr>
          <w:rFonts w:ascii="Calibri" w:eastAsia="Calibri" w:hAnsi="Calibri" w:cs="Calibri"/>
          <w:lang w:val="fr-CA"/>
        </w:rPr>
        <w:t xml:space="preserve">, </w:t>
      </w:r>
      <w:r w:rsidRPr="00113EBE">
        <w:rPr>
          <w:rFonts w:ascii="Calibri" w:eastAsia="Calibri" w:hAnsi="Calibri" w:cs="Calibri"/>
          <w:lang w:val="fr-CA"/>
        </w:rPr>
        <w:t xml:space="preserve">un chiffre qui est appelé à croître au fur et à mesure de l’approbation de nouveaux biosimilaires au </w:t>
      </w:r>
      <w:r w:rsidR="000662AB" w:rsidRPr="00113EBE">
        <w:rPr>
          <w:rFonts w:ascii="Calibri" w:eastAsia="Calibri" w:hAnsi="Calibri" w:cs="Calibri"/>
          <w:lang w:val="fr-CA"/>
        </w:rPr>
        <w:t>Canada.</w:t>
      </w:r>
      <w:bookmarkEnd w:id="48"/>
      <w:r w:rsidR="000662AB" w:rsidRPr="00113EBE">
        <w:rPr>
          <w:rFonts w:ascii="Calibri" w:eastAsia="Calibri" w:hAnsi="Calibri" w:cs="Calibri"/>
          <w:lang w:val="fr-CA"/>
        </w:rPr>
        <w:t xml:space="preserve"> </w:t>
      </w:r>
      <w:bookmarkStart w:id="49" w:name="lt_pId047"/>
      <w:r w:rsidR="009753DE" w:rsidRPr="00113EBE">
        <w:rPr>
          <w:rFonts w:ascii="Calibri" w:eastAsia="Calibri" w:hAnsi="Calibri" w:cs="Calibri"/>
          <w:lang w:val="fr-CA"/>
        </w:rPr>
        <w:t xml:space="preserve">Ces économies pourraient contribuer à assurer aux participants </w:t>
      </w:r>
      <w:r w:rsidR="001A5E45">
        <w:rPr>
          <w:rFonts w:ascii="Calibri" w:eastAsia="Calibri" w:hAnsi="Calibri" w:cs="Calibri"/>
          <w:lang w:val="fr-CA"/>
        </w:rPr>
        <w:t xml:space="preserve">des </w:t>
      </w:r>
      <w:r w:rsidR="009753DE" w:rsidRPr="00113EBE">
        <w:rPr>
          <w:rFonts w:ascii="Calibri" w:eastAsia="Calibri" w:hAnsi="Calibri" w:cs="Calibri"/>
          <w:lang w:val="fr-CA"/>
        </w:rPr>
        <w:t>régimes l’accès en temps opportun à des médicaments nouveaux et novateurs ou à bonifier certains aspects des soins de santé qui leur sont offerts</w:t>
      </w:r>
      <w:r w:rsidR="000662AB" w:rsidRPr="00113EBE">
        <w:rPr>
          <w:rFonts w:ascii="Calibri" w:eastAsia="Calibri" w:hAnsi="Calibri" w:cs="Calibri"/>
          <w:lang w:val="fr-CA"/>
        </w:rPr>
        <w:t>.</w:t>
      </w:r>
      <w:bookmarkEnd w:id="49"/>
      <w:r w:rsidR="000662AB" w:rsidRPr="00113EBE">
        <w:rPr>
          <w:rFonts w:ascii="Calibri" w:eastAsia="Calibri" w:hAnsi="Calibri" w:cs="Calibri"/>
          <w:lang w:val="fr-CA"/>
        </w:rPr>
        <w:t xml:space="preserve"> </w:t>
      </w:r>
      <w:bookmarkStart w:id="50" w:name="lt_pId048"/>
      <w:r w:rsidR="009753DE" w:rsidRPr="00113EBE">
        <w:rPr>
          <w:rFonts w:ascii="Calibri" w:eastAsia="Calibri" w:hAnsi="Calibri" w:cs="Calibri"/>
          <w:lang w:val="fr-CA"/>
        </w:rPr>
        <w:t xml:space="preserve">Il sera de plus en plus important que les régimes privés coordonnent leurs politiques de couverture avec celles des régimes publics afin de </w:t>
      </w:r>
      <w:r w:rsidR="004D5C74" w:rsidRPr="00113EBE">
        <w:rPr>
          <w:rFonts w:ascii="Calibri" w:eastAsia="Calibri" w:hAnsi="Calibri" w:cs="Calibri"/>
          <w:lang w:val="fr-CA"/>
        </w:rPr>
        <w:t>gérer adéquatement leur proportion des coûts des participants liés aux médicaments biologiques lorsque des versions biosimilaires sont disponibles.</w:t>
      </w:r>
      <w:bookmarkEnd w:id="50"/>
      <w:r w:rsidR="000662AB" w:rsidRPr="00113EBE">
        <w:rPr>
          <w:rFonts w:ascii="Calibri" w:eastAsia="Calibri" w:hAnsi="Calibri" w:cs="Calibri"/>
          <w:lang w:val="fr-CA"/>
        </w:rPr>
        <w:t xml:space="preserve">  </w:t>
      </w:r>
    </w:p>
    <w:p w14:paraId="407094D1" w14:textId="6F98D199" w:rsidR="00844F35" w:rsidRPr="000C7BFC" w:rsidRDefault="00D13784" w:rsidP="00844F35">
      <w:pPr>
        <w:pStyle w:val="ListParagraph"/>
        <w:numPr>
          <w:ilvl w:val="0"/>
          <w:numId w:val="7"/>
        </w:numPr>
        <w:spacing w:line="240" w:lineRule="exact"/>
        <w:rPr>
          <w:rFonts w:ascii="Calibri" w:eastAsia="Calibri" w:hAnsi="Calibri" w:cs="Calibri"/>
        </w:rPr>
      </w:pPr>
      <w:hyperlink r:id="rId21" w:history="1">
        <w:bookmarkStart w:id="51" w:name="lt_pId049"/>
        <w:r w:rsidR="001A5E45" w:rsidRPr="001A5E45">
          <w:rPr>
            <w:rStyle w:val="Hyperlink"/>
          </w:rPr>
          <w:t xml:space="preserve">Green Shield Biosimilar Transition policy saved $8,500 per plan member </w:t>
        </w:r>
        <w:proofErr w:type="spellStart"/>
        <w:r w:rsidR="001A5E45" w:rsidRPr="001A5E45">
          <w:rPr>
            <w:rStyle w:val="Hyperlink"/>
          </w:rPr>
          <w:t>annually</w:t>
        </w:r>
        <w:bookmarkEnd w:id="51"/>
      </w:hyperlink>
      <w:r w:rsidR="000662AB" w:rsidRPr="00113EBE">
        <w:rPr>
          <w:rStyle w:val="Hyperlink"/>
          <w:vertAlign w:val="superscript"/>
          <w:lang w:val="fr-CA"/>
        </w:rPr>
        <w:fldChar w:fldCharType="begin"/>
      </w:r>
      <w:r w:rsidR="000662AB" w:rsidRPr="000C7BFC">
        <w:rPr>
          <w:rStyle w:val="Hyperlink"/>
          <w:vertAlign w:val="superscript"/>
        </w:rPr>
        <w:instrText xml:space="preserve"> NOTEREF _Ref74571363 \h  \* MERGEFORMAT </w:instrText>
      </w:r>
      <w:r w:rsidR="000662AB" w:rsidRPr="00113EBE">
        <w:rPr>
          <w:rStyle w:val="Hyperlink"/>
          <w:vertAlign w:val="superscript"/>
          <w:lang w:val="fr-CA"/>
        </w:rPr>
      </w:r>
      <w:r w:rsidR="000662AB" w:rsidRPr="00113EBE">
        <w:rPr>
          <w:rStyle w:val="Hyperlink"/>
          <w:vertAlign w:val="superscript"/>
          <w:lang w:val="fr-CA"/>
        </w:rPr>
        <w:fldChar w:fldCharType="separate"/>
      </w:r>
      <w:r w:rsidR="000662AB" w:rsidRPr="000C7BFC">
        <w:rPr>
          <w:rStyle w:val="Hyperlink"/>
          <w:vertAlign w:val="superscript"/>
        </w:rPr>
        <w:t>xii</w:t>
      </w:r>
      <w:proofErr w:type="spellEnd"/>
      <w:r w:rsidR="000662AB" w:rsidRPr="00113EBE">
        <w:rPr>
          <w:rStyle w:val="Hyperlink"/>
          <w:vertAlign w:val="superscript"/>
          <w:lang w:val="fr-CA"/>
        </w:rPr>
        <w:fldChar w:fldCharType="end"/>
      </w:r>
      <w:r w:rsidR="000662AB" w:rsidRPr="000C7BFC">
        <w:rPr>
          <w:vertAlign w:val="superscript"/>
        </w:rPr>
        <w:t xml:space="preserve"> </w:t>
      </w:r>
    </w:p>
    <w:p w14:paraId="06B18427" w14:textId="0B7A3F1A" w:rsidR="00B9681D" w:rsidRPr="000C7BFC" w:rsidRDefault="00D13784" w:rsidP="00595153">
      <w:pPr>
        <w:pStyle w:val="ListParagraph"/>
        <w:numPr>
          <w:ilvl w:val="0"/>
          <w:numId w:val="7"/>
        </w:numPr>
        <w:spacing w:line="240" w:lineRule="exact"/>
        <w:rPr>
          <w:rFonts w:ascii="Calibri" w:eastAsia="Calibri" w:hAnsi="Calibri" w:cs="Calibri"/>
        </w:rPr>
      </w:pPr>
      <w:hyperlink r:id="rId22" w:history="1">
        <w:bookmarkStart w:id="52" w:name="lt_pId050"/>
        <w:r w:rsidR="000662AB" w:rsidRPr="000C7BFC">
          <w:rPr>
            <w:rStyle w:val="Hyperlink"/>
          </w:rPr>
          <w:t xml:space="preserve">Pacific Blue Cross saved $22 Million for plan sponsors and members with their biosimilar transition </w:t>
        </w:r>
        <w:proofErr w:type="spellStart"/>
        <w:r w:rsidR="000662AB" w:rsidRPr="000C7BFC">
          <w:rPr>
            <w:rStyle w:val="Hyperlink"/>
          </w:rPr>
          <w:t>policy</w:t>
        </w:r>
        <w:bookmarkEnd w:id="52"/>
      </w:hyperlink>
      <w:r w:rsidR="000662AB" w:rsidRPr="00C25EA9">
        <w:rPr>
          <w:rStyle w:val="Hyperlink"/>
          <w:u w:val="none"/>
          <w:lang w:val="fr-CA"/>
        </w:rPr>
        <w:fldChar w:fldCharType="begin"/>
      </w:r>
      <w:r w:rsidR="000662AB" w:rsidRPr="000C7BFC">
        <w:rPr>
          <w:rStyle w:val="Hyperlink"/>
          <w:u w:val="none"/>
        </w:rPr>
        <w:instrText xml:space="preserve"> NOTEREF _Ref74571408 \h  \* MERGEFORMAT </w:instrText>
      </w:r>
      <w:r w:rsidR="000662AB" w:rsidRPr="00C25EA9">
        <w:rPr>
          <w:rStyle w:val="Hyperlink"/>
          <w:u w:val="none"/>
          <w:lang w:val="fr-CA"/>
        </w:rPr>
      </w:r>
      <w:r w:rsidR="000662AB" w:rsidRPr="00C25EA9">
        <w:rPr>
          <w:rStyle w:val="Hyperlink"/>
          <w:u w:val="none"/>
          <w:lang w:val="fr-CA"/>
        </w:rPr>
        <w:fldChar w:fldCharType="separate"/>
      </w:r>
      <w:r w:rsidR="000662AB" w:rsidRPr="000C7BFC">
        <w:rPr>
          <w:rStyle w:val="Hyperlink"/>
          <w:u w:val="none"/>
          <w:vertAlign w:val="superscript"/>
        </w:rPr>
        <w:t>xi</w:t>
      </w:r>
      <w:proofErr w:type="spellEnd"/>
      <w:r w:rsidR="000662AB" w:rsidRPr="00C25EA9">
        <w:rPr>
          <w:rStyle w:val="Hyperlink"/>
          <w:u w:val="none"/>
          <w:lang w:val="fr-CA"/>
        </w:rPr>
        <w:fldChar w:fldCharType="end"/>
      </w:r>
      <w:r w:rsidR="000662AB" w:rsidRPr="000C7BFC">
        <w:t xml:space="preserve"> </w:t>
      </w:r>
    </w:p>
    <w:bookmarkStart w:id="53" w:name="lt_pId052"/>
    <w:p w14:paraId="163B2663" w14:textId="5F89623A" w:rsidR="008D72F9" w:rsidRDefault="008D72F9" w:rsidP="008D72F9">
      <w:pPr>
        <w:pStyle w:val="ListParagraph"/>
        <w:numPr>
          <w:ilvl w:val="0"/>
          <w:numId w:val="9"/>
        </w:numPr>
        <w:spacing w:line="240" w:lineRule="exact"/>
        <w:rPr>
          <w:rStyle w:val="Hyperlink"/>
        </w:rPr>
      </w:pPr>
      <w:r>
        <w:fldChar w:fldCharType="begin"/>
      </w:r>
      <w:r w:rsidRPr="00F87D7A">
        <w:instrText xml:space="preserve"> HYPERLINK "https://advisor.equitable.ca/advisor/en/news/responding-to-alberta-s-biosimilar-initiative" </w:instrText>
      </w:r>
      <w:r>
        <w:fldChar w:fldCharType="separate"/>
      </w:r>
      <w:r w:rsidRPr="00F87D7A">
        <w:rPr>
          <w:rStyle w:val="Hyperlink"/>
        </w:rPr>
        <w:t>Equitable Life: Risk of Not Coordinating with Alberta Public Transition Policy</w:t>
      </w:r>
      <w:r>
        <w:rPr>
          <w:rStyle w:val="EndnoteReference"/>
          <w:color w:val="0563C1" w:themeColor="hyperlink"/>
          <w:u w:val="single"/>
        </w:rPr>
        <w:endnoteReference w:id="15"/>
      </w:r>
      <w:r w:rsidRPr="00F87D7A">
        <w:rPr>
          <w:rStyle w:val="Hyperlink"/>
        </w:rPr>
        <w:t xml:space="preserve"> </w:t>
      </w:r>
      <w:r>
        <w:rPr>
          <w:rStyle w:val="Hyperlink"/>
        </w:rPr>
        <w:fldChar w:fldCharType="end"/>
      </w:r>
    </w:p>
    <w:p w14:paraId="3B0539BF" w14:textId="1E7C00E5" w:rsidR="2EB43415" w:rsidRPr="00113EBE" w:rsidRDefault="00AE47A0" w:rsidP="00595153">
      <w:pPr>
        <w:spacing w:line="240" w:lineRule="exact"/>
        <w:rPr>
          <w:rFonts w:ascii="Calibri" w:eastAsia="Calibri" w:hAnsi="Calibri" w:cs="Calibri"/>
          <w:b/>
          <w:bCs/>
          <w:u w:val="single"/>
          <w:lang w:val="fr-CA"/>
        </w:rPr>
      </w:pPr>
      <w:r>
        <w:rPr>
          <w:rFonts w:ascii="Calibri" w:eastAsia="Calibri" w:hAnsi="Calibri" w:cs="Calibri"/>
          <w:b/>
          <w:bCs/>
          <w:u w:val="single"/>
          <w:lang w:val="fr-CA"/>
        </w:rPr>
        <w:t>Le parcours du participant du régime : que cela signifie-t-il pour les participants de votre régime?</w:t>
      </w:r>
      <w:r w:rsidR="000662AB" w:rsidRPr="00113EBE">
        <w:rPr>
          <w:rFonts w:ascii="Calibri" w:eastAsia="Calibri" w:hAnsi="Calibri" w:cs="Calibri"/>
          <w:b/>
          <w:bCs/>
          <w:u w:val="single"/>
          <w:lang w:val="fr-CA"/>
        </w:rPr>
        <w:t xml:space="preserve"> </w:t>
      </w:r>
      <w:bookmarkEnd w:id="53"/>
    </w:p>
    <w:p w14:paraId="4EAE03F0" w14:textId="731C6311" w:rsidR="2EB43415" w:rsidRPr="00113EBE" w:rsidRDefault="00AE47A0" w:rsidP="00C31FA0">
      <w:pPr>
        <w:spacing w:line="240" w:lineRule="exact"/>
        <w:rPr>
          <w:lang w:val="fr-CA"/>
        </w:rPr>
      </w:pPr>
      <w:bookmarkStart w:id="54" w:name="lt_pId053"/>
      <w:r>
        <w:rPr>
          <w:lang w:val="fr-CA"/>
        </w:rPr>
        <w:t xml:space="preserve">Les participants du régime </w:t>
      </w:r>
      <w:r w:rsidR="008D546F">
        <w:rPr>
          <w:lang w:val="fr-CA"/>
        </w:rPr>
        <w:t xml:space="preserve">visés par cette transition </w:t>
      </w:r>
      <w:r>
        <w:rPr>
          <w:lang w:val="fr-CA"/>
        </w:rPr>
        <w:t>recevront une</w:t>
      </w:r>
      <w:r w:rsidR="000662AB" w:rsidRPr="00113EBE">
        <w:rPr>
          <w:lang w:val="fr-CA"/>
        </w:rPr>
        <w:t xml:space="preserve"> communication </w:t>
      </w:r>
      <w:r>
        <w:rPr>
          <w:lang w:val="fr-CA"/>
        </w:rPr>
        <w:t xml:space="preserve">de leur assureur privé qui les informera de la politique de transition vers les biosimilaires. Ils seront invités à prendre rendez-vous avec leur médecin afin de discuter des options qui s’offrent à eux. </w:t>
      </w:r>
      <w:bookmarkStart w:id="55" w:name="lt_pId055"/>
      <w:bookmarkEnd w:id="54"/>
      <w:r w:rsidR="00B9397C">
        <w:rPr>
          <w:lang w:val="fr-CA"/>
        </w:rPr>
        <w:t>Si l’on se fie aux résultats obtenus par les politiques de transition vers les biosimilaires mises en œuvre antérieurement au Canada, la grande majorité des patients passeront à un biosimilaire et seront immédiatement inscrits au programme de soutien aux patients pour ce biosimilaire. Toutefois, dans des cas exceptionnels, le médecin pourra présenter une demande d’exemption s’appuyant sur une justification médicale pour qu’un patient puisse continuer à prendre le médicament biologique de référence</w:t>
      </w:r>
      <w:bookmarkStart w:id="56" w:name="lt_pId056"/>
      <w:bookmarkEnd w:id="55"/>
      <w:r w:rsidR="000662AB" w:rsidRPr="00113EBE">
        <w:rPr>
          <w:lang w:val="fr-CA"/>
        </w:rPr>
        <w:t>.</w:t>
      </w:r>
      <w:bookmarkEnd w:id="56"/>
      <w:r w:rsidR="000662AB" w:rsidRPr="00113EBE">
        <w:rPr>
          <w:lang w:val="fr-CA"/>
        </w:rPr>
        <w:t xml:space="preserve">    </w:t>
      </w:r>
    </w:p>
    <w:p w14:paraId="2202EB31" w14:textId="17A660B2" w:rsidR="00E44EEE" w:rsidRPr="00113EBE" w:rsidRDefault="00113EBE" w:rsidP="00E44EEE">
      <w:pPr>
        <w:spacing w:line="240" w:lineRule="exact"/>
        <w:rPr>
          <w:rFonts w:ascii="Calibri" w:eastAsia="Calibri" w:hAnsi="Calibri" w:cs="Calibri"/>
          <w:lang w:val="fr-CA"/>
        </w:rPr>
      </w:pPr>
      <w:bookmarkStart w:id="57" w:name="lt_pId057"/>
      <w:r w:rsidRPr="00F87D7A">
        <w:rPr>
          <w:rFonts w:ascii="Calibri" w:eastAsia="Calibri" w:hAnsi="Calibri" w:cs="Calibri"/>
          <w:lang w:val="fr-CA"/>
        </w:rPr>
        <w:t>Toutefois, il est important de ne pas oublier que tout au long du processus de transition du patient, son équipe de soins primaires – médecins et infirmières – demeurera la même</w:t>
      </w:r>
      <w:r w:rsidR="000662AB" w:rsidRPr="00F87D7A">
        <w:rPr>
          <w:rFonts w:ascii="Calibri" w:eastAsia="Calibri" w:hAnsi="Calibri" w:cs="Calibri"/>
          <w:lang w:val="fr-CA"/>
        </w:rPr>
        <w:t>.</w:t>
      </w:r>
      <w:bookmarkEnd w:id="57"/>
      <w:r w:rsidR="000662AB" w:rsidRPr="00113EBE">
        <w:rPr>
          <w:rFonts w:ascii="Calibri" w:eastAsia="Calibri" w:hAnsi="Calibri" w:cs="Calibri"/>
          <w:lang w:val="fr-CA"/>
        </w:rPr>
        <w:t xml:space="preserve"> </w:t>
      </w:r>
    </w:p>
    <w:p w14:paraId="650586E6" w14:textId="62537B30" w:rsidR="00E44EEE" w:rsidRPr="00113EBE" w:rsidRDefault="00113EBE" w:rsidP="00E44EEE">
      <w:pPr>
        <w:spacing w:line="240" w:lineRule="exact"/>
        <w:rPr>
          <w:rFonts w:ascii="Calibri" w:eastAsia="Calibri" w:hAnsi="Calibri" w:cs="Calibri"/>
          <w:lang w:val="fr-CA"/>
        </w:rPr>
      </w:pPr>
      <w:bookmarkStart w:id="58" w:name="lt_pId058"/>
      <w:r w:rsidRPr="00113EBE">
        <w:rPr>
          <w:rFonts w:ascii="Calibri" w:eastAsia="Calibri" w:hAnsi="Calibri" w:cs="Calibri"/>
          <w:lang w:val="fr-CA"/>
        </w:rPr>
        <w:t xml:space="preserve">Les groupes de patients canadiens ont </w:t>
      </w:r>
      <w:r>
        <w:rPr>
          <w:rFonts w:ascii="Calibri" w:eastAsia="Calibri" w:hAnsi="Calibri" w:cs="Calibri"/>
          <w:lang w:val="fr-CA"/>
        </w:rPr>
        <w:t xml:space="preserve">élaboré </w:t>
      </w:r>
      <w:r w:rsidRPr="00113EBE">
        <w:rPr>
          <w:rFonts w:ascii="Calibri" w:eastAsia="Calibri" w:hAnsi="Calibri" w:cs="Calibri"/>
          <w:lang w:val="fr-CA"/>
        </w:rPr>
        <w:t xml:space="preserve">de nombreuses ressources afin de faciliter les discussions entre patients et médecins au sujet de la transition vers un biosimilaire. </w:t>
      </w:r>
      <w:bookmarkEnd w:id="58"/>
    </w:p>
    <w:p w14:paraId="61966BDA" w14:textId="071A68B1" w:rsidR="00E44EEE" w:rsidRPr="00585A6E" w:rsidRDefault="00D13784" w:rsidP="00B9238C">
      <w:pPr>
        <w:pStyle w:val="ListParagraph"/>
        <w:numPr>
          <w:ilvl w:val="0"/>
          <w:numId w:val="6"/>
        </w:numPr>
        <w:spacing w:line="240" w:lineRule="exact"/>
        <w:rPr>
          <w:rFonts w:ascii="Calibri" w:eastAsia="Calibri" w:hAnsi="Calibri" w:cs="Calibri"/>
          <w:lang w:val="fr-FR"/>
        </w:rPr>
      </w:pPr>
      <w:hyperlink r:id="rId23" w:history="1">
        <w:r w:rsidR="00C5796C">
          <w:rPr>
            <w:rStyle w:val="Hyperlink"/>
            <w:rFonts w:ascii="Calibri" w:eastAsia="Calibri" w:hAnsi="Calibri" w:cs="Calibri"/>
            <w:lang w:val="fr-FR"/>
          </w:rPr>
          <w:t xml:space="preserve">La transition vers une </w:t>
        </w:r>
        <w:proofErr w:type="gramStart"/>
        <w:r w:rsidR="00C5796C">
          <w:rPr>
            <w:rStyle w:val="Hyperlink"/>
            <w:rFonts w:ascii="Calibri" w:eastAsia="Calibri" w:hAnsi="Calibri" w:cs="Calibri"/>
            <w:lang w:val="fr-FR"/>
          </w:rPr>
          <w:t>Biosimilaire:</w:t>
        </w:r>
        <w:proofErr w:type="gramEnd"/>
        <w:r w:rsidR="00C5796C">
          <w:rPr>
            <w:rStyle w:val="Hyperlink"/>
            <w:rFonts w:ascii="Calibri" w:eastAsia="Calibri" w:hAnsi="Calibri" w:cs="Calibri"/>
            <w:lang w:val="fr-FR"/>
          </w:rPr>
          <w:t xml:space="preserve">  Le Parcours du Patient (</w:t>
        </w:r>
        <w:proofErr w:type="spellStart"/>
        <w:r w:rsidR="00C5796C">
          <w:rPr>
            <w:rStyle w:val="Hyperlink"/>
            <w:rFonts w:ascii="Calibri" w:eastAsia="Calibri" w:hAnsi="Calibri" w:cs="Calibri"/>
            <w:lang w:val="fr-FR"/>
          </w:rPr>
          <w:t>video</w:t>
        </w:r>
        <w:proofErr w:type="spellEnd"/>
        <w:r w:rsidR="00C5796C">
          <w:rPr>
            <w:rStyle w:val="Hyperlink"/>
            <w:rFonts w:ascii="Calibri" w:eastAsia="Calibri" w:hAnsi="Calibri" w:cs="Calibri"/>
            <w:lang w:val="fr-FR"/>
          </w:rPr>
          <w:t>)</w:t>
        </w:r>
      </w:hyperlink>
      <w:r w:rsidR="00D579A4" w:rsidRPr="00585A6E">
        <w:rPr>
          <w:lang w:val="fr-FR"/>
        </w:rPr>
        <w:t xml:space="preserve"> </w:t>
      </w:r>
    </w:p>
    <w:p w14:paraId="62B47471" w14:textId="6E39453B" w:rsidR="00E44EEE" w:rsidRPr="00113EBE" w:rsidRDefault="00D13784" w:rsidP="00E44EEE">
      <w:pPr>
        <w:pStyle w:val="ListParagraph"/>
        <w:numPr>
          <w:ilvl w:val="0"/>
          <w:numId w:val="6"/>
        </w:numPr>
        <w:spacing w:line="240" w:lineRule="exact"/>
        <w:rPr>
          <w:rFonts w:ascii="Calibri" w:eastAsia="Calibri" w:hAnsi="Calibri" w:cs="Calibri"/>
          <w:lang w:val="fr-CA"/>
        </w:rPr>
      </w:pPr>
      <w:hyperlink r:id="rId24" w:history="1">
        <w:proofErr w:type="gramStart"/>
        <w:r w:rsidR="00C5574E">
          <w:rPr>
            <w:rStyle w:val="Hyperlink"/>
            <w:rFonts w:ascii="Calibri" w:eastAsia="Calibri" w:hAnsi="Calibri" w:cs="Calibri"/>
            <w:lang w:val="fr-FR"/>
          </w:rPr>
          <w:t>ACE:</w:t>
        </w:r>
        <w:proofErr w:type="gramEnd"/>
        <w:r w:rsidR="00C5574E">
          <w:rPr>
            <w:rStyle w:val="Hyperlink"/>
            <w:rFonts w:ascii="Calibri" w:eastAsia="Calibri" w:hAnsi="Calibri" w:cs="Calibri"/>
            <w:lang w:val="fr-FR"/>
          </w:rPr>
          <w:t xml:space="preserve"> L'Infographie sur les Biosimilaires</w:t>
        </w:r>
      </w:hyperlink>
      <w:r w:rsidR="000662AB" w:rsidRPr="00C25EA9">
        <w:rPr>
          <w:rStyle w:val="EndnoteReference"/>
          <w:rFonts w:ascii="Calibri" w:eastAsia="Calibri" w:hAnsi="Calibri" w:cs="Calibri"/>
          <w:color w:val="0563C1" w:themeColor="hyperlink"/>
          <w:lang w:val="fr-CA"/>
        </w:rPr>
        <w:endnoteReference w:id="16"/>
      </w:r>
      <w:r w:rsidR="00D579A4" w:rsidRPr="00C25EA9">
        <w:rPr>
          <w:lang w:val="fr-CA"/>
        </w:rPr>
        <w:t xml:space="preserve"> </w:t>
      </w:r>
    </w:p>
    <w:p w14:paraId="3FE4029F" w14:textId="54DA5C20" w:rsidR="00E44EEE" w:rsidRPr="00354AFD" w:rsidRDefault="00D13784" w:rsidP="00E44EEE">
      <w:pPr>
        <w:pStyle w:val="ListParagraph"/>
        <w:numPr>
          <w:ilvl w:val="0"/>
          <w:numId w:val="6"/>
        </w:numPr>
        <w:spacing w:line="240" w:lineRule="exact"/>
        <w:rPr>
          <w:rFonts w:ascii="Calibri" w:eastAsia="Calibri" w:hAnsi="Calibri" w:cs="Calibri"/>
          <w:lang w:val="fr-FR"/>
        </w:rPr>
      </w:pPr>
      <w:hyperlink r:id="rId25" w:history="1">
        <w:r w:rsidR="00F45BB6">
          <w:rPr>
            <w:rStyle w:val="Hyperlink"/>
            <w:rFonts w:ascii="Calibri" w:eastAsia="Calibri" w:hAnsi="Calibri" w:cs="Calibri"/>
            <w:lang w:val="fr-FR"/>
          </w:rPr>
          <w:t xml:space="preserve">ACE </w:t>
        </w:r>
        <w:proofErr w:type="gramStart"/>
        <w:r w:rsidR="00F45BB6">
          <w:rPr>
            <w:rStyle w:val="Hyperlink"/>
            <w:rFonts w:ascii="Calibri" w:eastAsia="Calibri" w:hAnsi="Calibri" w:cs="Calibri"/>
            <w:lang w:val="fr-FR"/>
          </w:rPr>
          <w:t>Vidéos:</w:t>
        </w:r>
        <w:proofErr w:type="gramEnd"/>
        <w:r w:rsidR="00F45BB6">
          <w:rPr>
            <w:rStyle w:val="Hyperlink"/>
            <w:rFonts w:ascii="Calibri" w:eastAsia="Calibri" w:hAnsi="Calibri" w:cs="Calibri"/>
            <w:lang w:val="fr-FR"/>
          </w:rPr>
          <w:t xml:space="preserve"> Transition Entre les Médicaments Biologiques et Biosimilaires</w:t>
        </w:r>
      </w:hyperlink>
      <w:r w:rsidR="000662AB" w:rsidRPr="00C25EA9">
        <w:rPr>
          <w:rStyle w:val="EndnoteReference"/>
          <w:rFonts w:ascii="Calibri" w:eastAsia="Calibri" w:hAnsi="Calibri" w:cs="Calibri"/>
          <w:color w:val="0563C1" w:themeColor="hyperlink"/>
          <w:lang w:val="fr-CA"/>
        </w:rPr>
        <w:endnoteReference w:id="17"/>
      </w:r>
      <w:r w:rsidR="00816A1F" w:rsidRPr="00354AFD">
        <w:rPr>
          <w:lang w:val="fr-FR"/>
        </w:rPr>
        <w:t xml:space="preserve"> </w:t>
      </w:r>
    </w:p>
    <w:p w14:paraId="294552FF" w14:textId="376839B0" w:rsidR="00E44EEE" w:rsidRPr="0012465C" w:rsidRDefault="00D13784" w:rsidP="00816A1F">
      <w:pPr>
        <w:pStyle w:val="ListParagraph"/>
        <w:numPr>
          <w:ilvl w:val="0"/>
          <w:numId w:val="6"/>
        </w:numPr>
        <w:spacing w:line="240" w:lineRule="exact"/>
        <w:rPr>
          <w:rStyle w:val="Hyperlink"/>
          <w:color w:val="auto"/>
          <w:u w:val="none"/>
          <w:lang w:val="fr-FR"/>
        </w:rPr>
      </w:pPr>
      <w:hyperlink r:id="rId26" w:history="1">
        <w:r w:rsidR="00CD37CE">
          <w:rPr>
            <w:rStyle w:val="Hyperlink"/>
            <w:rFonts w:ascii="Calibri" w:eastAsia="Calibri" w:hAnsi="Calibri" w:cs="Calibri"/>
            <w:lang w:val="fr-FR"/>
          </w:rPr>
          <w:t xml:space="preserve">ACE </w:t>
        </w:r>
        <w:proofErr w:type="gramStart"/>
        <w:r w:rsidR="00CD37CE">
          <w:rPr>
            <w:rStyle w:val="Hyperlink"/>
            <w:rFonts w:ascii="Calibri" w:eastAsia="Calibri" w:hAnsi="Calibri" w:cs="Calibri"/>
            <w:lang w:val="fr-FR"/>
          </w:rPr>
          <w:t>Vidéos:</w:t>
        </w:r>
        <w:proofErr w:type="gramEnd"/>
        <w:r w:rsidR="00CD37CE">
          <w:rPr>
            <w:rStyle w:val="Hyperlink"/>
            <w:rFonts w:ascii="Calibri" w:eastAsia="Calibri" w:hAnsi="Calibri" w:cs="Calibri"/>
            <w:lang w:val="fr-FR"/>
          </w:rPr>
          <w:t xml:space="preserve"> Aider les patients à gérer la transition entre les médicaments biologiques biosimilaires</w:t>
        </w:r>
      </w:hyperlink>
      <w:r w:rsidR="000662AB" w:rsidRPr="00C25EA9">
        <w:rPr>
          <w:rStyle w:val="EndnoteReference"/>
          <w:rFonts w:ascii="Calibri" w:eastAsia="Calibri" w:hAnsi="Calibri" w:cs="Calibri"/>
          <w:color w:val="0563C1" w:themeColor="hyperlink"/>
          <w:lang w:val="fr-CA"/>
        </w:rPr>
        <w:endnoteReference w:id="18"/>
      </w:r>
      <w:r w:rsidR="00816A1F" w:rsidRPr="0012465C">
        <w:rPr>
          <w:lang w:val="fr-FR"/>
        </w:rPr>
        <w:t xml:space="preserve"> </w:t>
      </w:r>
    </w:p>
    <w:p w14:paraId="638DD42E" w14:textId="30178B5F" w:rsidR="00E44EEE" w:rsidRPr="00CE539D" w:rsidRDefault="00D13784" w:rsidP="00E44EEE">
      <w:pPr>
        <w:pStyle w:val="ListParagraph"/>
        <w:numPr>
          <w:ilvl w:val="0"/>
          <w:numId w:val="6"/>
        </w:numPr>
        <w:spacing w:line="240" w:lineRule="exact"/>
        <w:rPr>
          <w:rFonts w:ascii="Calibri" w:eastAsia="Calibri" w:hAnsi="Calibri" w:cs="Calibri"/>
          <w:lang w:val="fr-FR"/>
        </w:rPr>
      </w:pPr>
      <w:hyperlink r:id="rId27" w:history="1">
        <w:proofErr w:type="gramStart"/>
        <w:r w:rsidR="00CE539D" w:rsidRPr="00CE539D">
          <w:rPr>
            <w:rStyle w:val="Hyperlink"/>
            <w:lang w:val="fr-FR"/>
          </w:rPr>
          <w:t>FCSD:</w:t>
        </w:r>
        <w:proofErr w:type="gramEnd"/>
        <w:r w:rsidR="00CE539D" w:rsidRPr="00CE539D">
          <w:rPr>
            <w:rStyle w:val="Hyperlink"/>
            <w:lang w:val="fr-FR"/>
          </w:rPr>
          <w:t xml:space="preserve"> Dépliant pour les patients atteints d’une MII et en voie de transition</w:t>
        </w:r>
      </w:hyperlink>
      <w:r w:rsidR="00F87D7A">
        <w:rPr>
          <w:rStyle w:val="EndnoteReference"/>
          <w:color w:val="0563C1" w:themeColor="hyperlink"/>
          <w:u w:val="single"/>
        </w:rPr>
        <w:endnoteReference w:id="19"/>
      </w:r>
      <w:r w:rsidR="001C79ED" w:rsidRPr="00CE539D">
        <w:rPr>
          <w:lang w:val="fr-FR"/>
        </w:rPr>
        <w:t xml:space="preserve"> </w:t>
      </w:r>
    </w:p>
    <w:p w14:paraId="5311D6DB" w14:textId="2BD6794C" w:rsidR="00E44EEE" w:rsidRPr="00585B84" w:rsidRDefault="00D13784" w:rsidP="00E44EEE">
      <w:pPr>
        <w:pStyle w:val="ListParagraph"/>
        <w:numPr>
          <w:ilvl w:val="0"/>
          <w:numId w:val="6"/>
        </w:numPr>
        <w:spacing w:line="240" w:lineRule="exact"/>
        <w:rPr>
          <w:rStyle w:val="Hyperlink"/>
          <w:rFonts w:ascii="Calibri" w:eastAsia="Calibri" w:hAnsi="Calibri" w:cs="Calibri"/>
          <w:color w:val="auto"/>
          <w:u w:val="none"/>
          <w:lang w:val="fr-FR"/>
        </w:rPr>
      </w:pPr>
      <w:hyperlink r:id="rId28" w:history="1">
        <w:r w:rsidR="00585B84" w:rsidRPr="00585B84">
          <w:rPr>
            <w:rStyle w:val="Hyperlink"/>
            <w:lang w:val="fr-FR"/>
          </w:rPr>
          <w:t xml:space="preserve">FCSD </w:t>
        </w:r>
        <w:proofErr w:type="spellStart"/>
        <w:proofErr w:type="gramStart"/>
        <w:r w:rsidR="00585B84" w:rsidRPr="00585B84">
          <w:rPr>
            <w:rStyle w:val="Hyperlink"/>
            <w:lang w:val="fr-FR"/>
          </w:rPr>
          <w:t>Video</w:t>
        </w:r>
        <w:proofErr w:type="spellEnd"/>
        <w:r w:rsidR="00585B84" w:rsidRPr="00585B84">
          <w:rPr>
            <w:rStyle w:val="Hyperlink"/>
            <w:lang w:val="fr-FR"/>
          </w:rPr>
          <w:t>:</w:t>
        </w:r>
        <w:proofErr w:type="gramEnd"/>
        <w:r w:rsidR="00585B84" w:rsidRPr="00585B84">
          <w:rPr>
            <w:rStyle w:val="Hyperlink"/>
            <w:lang w:val="fr-FR"/>
          </w:rPr>
          <w:t xml:space="preserve"> Changer d’un Médicament Biologique à un Biosimilaire</w:t>
        </w:r>
      </w:hyperlink>
      <w:r w:rsidR="000662AB" w:rsidRPr="00113EBE">
        <w:rPr>
          <w:rStyle w:val="EndnoteReference"/>
          <w:color w:val="0563C1" w:themeColor="hyperlink"/>
          <w:u w:val="single"/>
          <w:lang w:val="fr-CA"/>
        </w:rPr>
        <w:endnoteReference w:id="20"/>
      </w:r>
    </w:p>
    <w:p w14:paraId="273F045A" w14:textId="72F20E62" w:rsidR="00B64D9D" w:rsidRPr="00585B84" w:rsidRDefault="00D13784" w:rsidP="4768404C">
      <w:pPr>
        <w:rPr>
          <w:lang w:val="fr-FR"/>
        </w:rPr>
      </w:pPr>
    </w:p>
    <w:p w14:paraId="4B1EAEE0" w14:textId="77777777" w:rsidR="00C81792" w:rsidRPr="00585B84" w:rsidRDefault="00D13784" w:rsidP="4768404C">
      <w:pPr>
        <w:rPr>
          <w:lang w:val="fr-FR"/>
        </w:rPr>
      </w:pPr>
    </w:p>
    <w:p w14:paraId="621ECA95" w14:textId="77777777" w:rsidR="00D13784" w:rsidRDefault="00D13784" w:rsidP="4768404C">
      <w:pPr>
        <w:rPr>
          <w:lang w:val="fr-CA"/>
        </w:rPr>
      </w:pPr>
      <w:bookmarkStart w:id="59" w:name="lt_pId065"/>
    </w:p>
    <w:p w14:paraId="2ED2C247" w14:textId="77777777" w:rsidR="00D13784" w:rsidRDefault="00D13784" w:rsidP="4768404C">
      <w:pPr>
        <w:rPr>
          <w:lang w:val="fr-CA"/>
        </w:rPr>
      </w:pPr>
    </w:p>
    <w:p w14:paraId="38AA4770" w14:textId="524EA9BE" w:rsidR="00B64D9D" w:rsidRPr="00113EBE" w:rsidRDefault="000662AB" w:rsidP="4768404C">
      <w:pPr>
        <w:rPr>
          <w:lang w:val="fr-CA"/>
        </w:rPr>
      </w:pPr>
      <w:r w:rsidRPr="008D72F9">
        <w:rPr>
          <w:lang w:val="fr-CA"/>
        </w:rPr>
        <w:lastRenderedPageBreak/>
        <w:t>R</w:t>
      </w:r>
      <w:r w:rsidR="00093443" w:rsidRPr="008D72F9">
        <w:rPr>
          <w:lang w:val="fr-CA"/>
        </w:rPr>
        <w:t>éfé</w:t>
      </w:r>
      <w:r w:rsidRPr="008D72F9">
        <w:rPr>
          <w:lang w:val="fr-CA"/>
        </w:rPr>
        <w:t>rences</w:t>
      </w:r>
      <w:r w:rsidR="00093443" w:rsidRPr="008D72F9">
        <w:rPr>
          <w:lang w:val="fr-CA"/>
        </w:rPr>
        <w:t> </w:t>
      </w:r>
      <w:r w:rsidRPr="008D72F9">
        <w:rPr>
          <w:lang w:val="fr-CA"/>
        </w:rPr>
        <w:t>:</w:t>
      </w:r>
      <w:bookmarkEnd w:id="59"/>
    </w:p>
    <w:sectPr w:rsidR="00B64D9D" w:rsidRPr="00113EBE">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9FC6E" w14:textId="77777777" w:rsidR="00E05153" w:rsidRDefault="00E05153" w:rsidP="005904D4">
      <w:pPr>
        <w:spacing w:after="0" w:line="240" w:lineRule="auto"/>
      </w:pPr>
      <w:r>
        <w:separator/>
      </w:r>
    </w:p>
  </w:endnote>
  <w:endnote w:type="continuationSeparator" w:id="0">
    <w:p w14:paraId="36CB9D21" w14:textId="77777777" w:rsidR="00E05153" w:rsidRDefault="00E05153" w:rsidP="005904D4">
      <w:pPr>
        <w:spacing w:after="0" w:line="240" w:lineRule="auto"/>
      </w:pPr>
      <w:r>
        <w:continuationSeparator/>
      </w:r>
    </w:p>
  </w:endnote>
  <w:endnote w:type="continuationNotice" w:id="1">
    <w:p w14:paraId="11FC8A23" w14:textId="77777777" w:rsidR="00E05153" w:rsidRDefault="00E05153">
      <w:pPr>
        <w:spacing w:after="0" w:line="240" w:lineRule="auto"/>
      </w:pPr>
    </w:p>
  </w:endnote>
  <w:endnote w:id="2">
    <w:p w14:paraId="6741FEB6" w14:textId="5801CC4A" w:rsidR="00303C5C" w:rsidRPr="00BE7547" w:rsidRDefault="008D72F9">
      <w:pPr>
        <w:pStyle w:val="EndnoteText"/>
        <w:rPr>
          <w:lang w:val="fr-FR"/>
        </w:rPr>
      </w:pPr>
      <w:r w:rsidRPr="008D72F9">
        <w:rPr>
          <w:rStyle w:val="EndnoteReference"/>
        </w:rPr>
        <w:endnoteRef/>
      </w:r>
      <w:r w:rsidRPr="00BE7547">
        <w:rPr>
          <w:lang w:val="fr-FR"/>
        </w:rPr>
        <w:t xml:space="preserve"> </w:t>
      </w:r>
      <w:hyperlink r:id="rId1" w:history="1">
        <w:r w:rsidR="00BE7547" w:rsidRPr="00BE7547">
          <w:rPr>
            <w:rStyle w:val="Hyperlink"/>
            <w:lang w:val="fr-FR"/>
          </w:rPr>
          <w:t>Médicaments biologiques biosimilaires au Canada : Fiche d’information - Canada.ca</w:t>
        </w:r>
      </w:hyperlink>
    </w:p>
  </w:endnote>
  <w:endnote w:id="3">
    <w:p w14:paraId="3C30D2EB" w14:textId="1D4E711F" w:rsidR="008D72F9" w:rsidRPr="00560EF9" w:rsidRDefault="008D72F9" w:rsidP="008D72F9">
      <w:pPr>
        <w:pStyle w:val="EndnoteText"/>
        <w:rPr>
          <w:lang w:val="en-US"/>
        </w:rPr>
      </w:pPr>
      <w:r w:rsidRPr="008D72F9">
        <w:rPr>
          <w:rStyle w:val="EndnoteReference"/>
        </w:rPr>
        <w:endnoteRef/>
      </w:r>
      <w:r w:rsidRPr="008D72F9">
        <w:t xml:space="preserve"> </w:t>
      </w:r>
      <w:hyperlink r:id="rId2" w:history="1">
        <w:proofErr w:type="spellStart"/>
        <w:r w:rsidR="00777227">
          <w:rPr>
            <w:rStyle w:val="Hyperlink"/>
          </w:rPr>
          <w:t>Accueil</w:t>
        </w:r>
        <w:proofErr w:type="spellEnd"/>
        <w:r w:rsidR="00777227">
          <w:rPr>
            <w:rStyle w:val="Hyperlink"/>
          </w:rPr>
          <w:t xml:space="preserve"> — Canadian Biosimilars Forum</w:t>
        </w:r>
      </w:hyperlink>
    </w:p>
  </w:endnote>
  <w:endnote w:id="4">
    <w:p w14:paraId="2DDE08B3" w14:textId="5BE5F3BA" w:rsidR="008D72F9" w:rsidRPr="00DA3225" w:rsidRDefault="008D72F9" w:rsidP="008D72F9">
      <w:pPr>
        <w:pStyle w:val="EndnoteText"/>
        <w:rPr>
          <w:lang w:val="fr-FR"/>
        </w:rPr>
      </w:pPr>
      <w:r w:rsidRPr="008D72F9">
        <w:rPr>
          <w:rStyle w:val="EndnoteReference"/>
        </w:rPr>
        <w:endnoteRef/>
      </w:r>
      <w:r w:rsidRPr="00DA3225">
        <w:rPr>
          <w:lang w:val="fr-FR"/>
        </w:rPr>
        <w:t xml:space="preserve"> </w:t>
      </w:r>
      <w:hyperlink r:id="rId3" w:history="1">
        <w:r w:rsidR="00DA3225" w:rsidRPr="00DA3225">
          <w:rPr>
            <w:rStyle w:val="Hyperlink"/>
            <w:lang w:val="fr-FR"/>
          </w:rPr>
          <w:t xml:space="preserve">Bibliothèque sur les produits biosimilaires de la FCSD - Canadian Digestive </w:t>
        </w:r>
        <w:proofErr w:type="spellStart"/>
        <w:r w:rsidR="00DA3225" w:rsidRPr="00DA3225">
          <w:rPr>
            <w:rStyle w:val="Hyperlink"/>
            <w:lang w:val="fr-FR"/>
          </w:rPr>
          <w:t>Health</w:t>
        </w:r>
        <w:proofErr w:type="spellEnd"/>
        <w:r w:rsidR="00DA3225" w:rsidRPr="00DA3225">
          <w:rPr>
            <w:rStyle w:val="Hyperlink"/>
            <w:lang w:val="fr-FR"/>
          </w:rPr>
          <w:t xml:space="preserve"> </w:t>
        </w:r>
        <w:proofErr w:type="spellStart"/>
        <w:r w:rsidR="00DA3225" w:rsidRPr="00DA3225">
          <w:rPr>
            <w:rStyle w:val="Hyperlink"/>
            <w:lang w:val="fr-FR"/>
          </w:rPr>
          <w:t>Foundation</w:t>
        </w:r>
        <w:proofErr w:type="spellEnd"/>
        <w:r w:rsidR="00DA3225" w:rsidRPr="00DA3225">
          <w:rPr>
            <w:rStyle w:val="Hyperlink"/>
            <w:lang w:val="fr-FR"/>
          </w:rPr>
          <w:t xml:space="preserve"> (cdhf.ca)</w:t>
        </w:r>
      </w:hyperlink>
    </w:p>
  </w:endnote>
  <w:endnote w:id="5">
    <w:p w14:paraId="1C655547" w14:textId="51457B1E" w:rsidR="008D72F9" w:rsidRPr="006D2BCE" w:rsidRDefault="008D72F9" w:rsidP="008D72F9">
      <w:pPr>
        <w:pStyle w:val="EndnoteText"/>
        <w:rPr>
          <w:lang w:val="fr-FR"/>
        </w:rPr>
      </w:pPr>
      <w:r w:rsidRPr="008D72F9">
        <w:rPr>
          <w:rStyle w:val="EndnoteReference"/>
        </w:rPr>
        <w:endnoteRef/>
      </w:r>
      <w:r w:rsidRPr="006D2BCE">
        <w:rPr>
          <w:lang w:val="fr-FR"/>
        </w:rPr>
        <w:t xml:space="preserve"> </w:t>
      </w:r>
      <w:hyperlink r:id="rId4" w:history="1">
        <w:r w:rsidR="006D2BCE">
          <w:rPr>
            <w:rStyle w:val="Hyperlink"/>
            <w:lang w:val="fr-FR"/>
          </w:rPr>
          <w:t>Médicaments biosimilaires pour traiter l’arthrite inflammatoire | Société de l’arthrite</w:t>
        </w:r>
      </w:hyperlink>
    </w:p>
  </w:endnote>
  <w:endnote w:id="6">
    <w:p w14:paraId="30C99009" w14:textId="00057BCB" w:rsidR="008D72F9" w:rsidRPr="008D72F9" w:rsidRDefault="008D72F9" w:rsidP="008D72F9">
      <w:pPr>
        <w:pStyle w:val="EndnoteText"/>
        <w:rPr>
          <w:lang w:val="en-US"/>
        </w:rPr>
      </w:pPr>
      <w:r w:rsidRPr="008D72F9">
        <w:rPr>
          <w:rStyle w:val="EndnoteReference"/>
        </w:rPr>
        <w:endnoteRef/>
      </w:r>
      <w:r w:rsidRPr="008D72F9">
        <w:t xml:space="preserve"> </w:t>
      </w:r>
      <w:hyperlink r:id="rId5" w:history="1">
        <w:proofErr w:type="spellStart"/>
        <w:r w:rsidR="00B366A5">
          <w:rPr>
            <w:rStyle w:val="Hyperlink"/>
          </w:rPr>
          <w:t>L’Échange</w:t>
        </w:r>
        <w:proofErr w:type="spellEnd"/>
        <w:r w:rsidR="00B366A5">
          <w:rPr>
            <w:rStyle w:val="Hyperlink"/>
          </w:rPr>
          <w:t xml:space="preserve"> </w:t>
        </w:r>
        <w:proofErr w:type="spellStart"/>
        <w:r w:rsidR="00B366A5">
          <w:rPr>
            <w:rStyle w:val="Hyperlink"/>
          </w:rPr>
          <w:t>Biosim</w:t>
        </w:r>
        <w:proofErr w:type="spellEnd"/>
      </w:hyperlink>
    </w:p>
  </w:endnote>
  <w:endnote w:id="7">
    <w:p w14:paraId="1AA85E0B" w14:textId="790AD337" w:rsidR="00E67CDD" w:rsidRPr="008D72F9" w:rsidRDefault="000662AB">
      <w:pPr>
        <w:pStyle w:val="EndnoteText"/>
        <w:rPr>
          <w:lang w:val="en-US"/>
        </w:rPr>
      </w:pPr>
      <w:r w:rsidRPr="008D72F9">
        <w:rPr>
          <w:rStyle w:val="EndnoteReference"/>
        </w:rPr>
        <w:endnoteRef/>
      </w:r>
      <w:r w:rsidRPr="008D72F9">
        <w:t xml:space="preserve"> </w:t>
      </w:r>
      <w:hyperlink r:id="rId6" w:history="1">
        <w:bookmarkStart w:id="28" w:name="lt_pId072"/>
        <w:r w:rsidRPr="008D72F9">
          <w:rPr>
            <w:rStyle w:val="Hyperlink"/>
          </w:rPr>
          <w:t>Update on biosimilars in Canada - April 2021</w:t>
        </w:r>
        <w:bookmarkEnd w:id="28"/>
      </w:hyperlink>
    </w:p>
  </w:endnote>
  <w:endnote w:id="8">
    <w:p w14:paraId="6C822664" w14:textId="39C3ABAD" w:rsidR="008C5BDC" w:rsidRPr="00560EF9" w:rsidRDefault="008D72F9">
      <w:pPr>
        <w:pStyle w:val="EndnoteText"/>
        <w:rPr>
          <w:lang w:val="en-US"/>
        </w:rPr>
      </w:pPr>
      <w:r w:rsidRPr="008D72F9">
        <w:rPr>
          <w:rStyle w:val="EndnoteReference"/>
        </w:rPr>
        <w:endnoteRef/>
      </w:r>
      <w:r w:rsidRPr="008D72F9">
        <w:t xml:space="preserve"> </w:t>
      </w:r>
      <w:hyperlink r:id="rId7" w:history="1">
        <w:r w:rsidRPr="008D72F9">
          <w:rPr>
            <w:rStyle w:val="Hyperlink"/>
          </w:rPr>
          <w:t>PMPRB 2020 biologics-part1-market-trends.pdf</w:t>
        </w:r>
      </w:hyperlink>
      <w:r w:rsidR="00725F62" w:rsidRPr="00560EF9">
        <w:rPr>
          <w:lang w:val="en-US"/>
        </w:rPr>
        <w:t xml:space="preserve"> </w:t>
      </w:r>
    </w:p>
  </w:endnote>
  <w:endnote w:id="9">
    <w:p w14:paraId="5FB75621" w14:textId="77777777" w:rsidR="009B21B0" w:rsidRPr="008D72F9" w:rsidRDefault="009B21B0" w:rsidP="009B21B0">
      <w:pPr>
        <w:pStyle w:val="EndnoteText"/>
        <w:rPr>
          <w:lang w:val="en-US"/>
        </w:rPr>
      </w:pPr>
      <w:r w:rsidRPr="008D72F9">
        <w:rPr>
          <w:rStyle w:val="EndnoteReference"/>
        </w:rPr>
        <w:endnoteRef/>
      </w:r>
      <w:r w:rsidRPr="008D72F9">
        <w:t xml:space="preserve"> </w:t>
      </w:r>
      <w:hyperlink r:id="rId8" w:history="1">
        <w:bookmarkStart w:id="35" w:name="lt_pId074"/>
        <w:r w:rsidRPr="008D72F9">
          <w:rPr>
            <w:rStyle w:val="Hyperlink"/>
          </w:rPr>
          <w:t>Biosimilars Initiative Province of British Columbia</w:t>
        </w:r>
        <w:bookmarkEnd w:id="35"/>
      </w:hyperlink>
    </w:p>
  </w:endnote>
  <w:endnote w:id="10">
    <w:p w14:paraId="17701A17" w14:textId="77777777" w:rsidR="009B21B0" w:rsidRPr="008D72F9" w:rsidRDefault="009B21B0" w:rsidP="009B21B0">
      <w:pPr>
        <w:pStyle w:val="EndnoteText"/>
        <w:rPr>
          <w:lang w:val="en-US"/>
        </w:rPr>
      </w:pPr>
      <w:r w:rsidRPr="008D72F9">
        <w:rPr>
          <w:rStyle w:val="EndnoteReference"/>
        </w:rPr>
        <w:endnoteRef/>
      </w:r>
      <w:r w:rsidRPr="008D72F9">
        <w:t xml:space="preserve"> </w:t>
      </w:r>
      <w:hyperlink r:id="rId9" w:history="1">
        <w:bookmarkStart w:id="37" w:name="lt_pId075"/>
        <w:r w:rsidRPr="008D72F9">
          <w:rPr>
            <w:rStyle w:val="Hyperlink"/>
          </w:rPr>
          <w:t>Rapid monitoring of health services utilization following a shift in coverage from brand name to biosimilar drugs in British Columbia</w:t>
        </w:r>
        <w:bookmarkEnd w:id="37"/>
      </w:hyperlink>
    </w:p>
  </w:endnote>
  <w:endnote w:id="11">
    <w:p w14:paraId="42A59FA0" w14:textId="77777777" w:rsidR="009B21B0" w:rsidRPr="008D72F9" w:rsidRDefault="009B21B0" w:rsidP="009B21B0">
      <w:pPr>
        <w:pStyle w:val="EndnoteText"/>
        <w:rPr>
          <w:lang w:val="en-US"/>
        </w:rPr>
      </w:pPr>
      <w:r w:rsidRPr="008D72F9">
        <w:rPr>
          <w:rStyle w:val="EndnoteReference"/>
        </w:rPr>
        <w:endnoteRef/>
      </w:r>
      <w:r w:rsidRPr="008D72F9">
        <w:t xml:space="preserve"> </w:t>
      </w:r>
      <w:hyperlink r:id="rId10" w:history="1">
        <w:bookmarkStart w:id="39" w:name="lt_pId076"/>
        <w:r w:rsidRPr="008D72F9">
          <w:rPr>
            <w:rStyle w:val="Hyperlink"/>
          </w:rPr>
          <w:t xml:space="preserve">Alberta, Canada, Sees Early Success </w:t>
        </w:r>
        <w:proofErr w:type="gramStart"/>
        <w:r w:rsidRPr="008D72F9">
          <w:rPr>
            <w:rStyle w:val="Hyperlink"/>
          </w:rPr>
          <w:t>From</w:t>
        </w:r>
        <w:proofErr w:type="gramEnd"/>
        <w:r w:rsidRPr="008D72F9">
          <w:rPr>
            <w:rStyle w:val="Hyperlink"/>
          </w:rPr>
          <w:t xml:space="preserve"> Switching Patients to Biosimilars</w:t>
        </w:r>
        <w:bookmarkEnd w:id="39"/>
      </w:hyperlink>
    </w:p>
  </w:endnote>
  <w:endnote w:id="12">
    <w:p w14:paraId="66E98A99" w14:textId="25D62A4B" w:rsidR="009B21B0" w:rsidRPr="008D72F9" w:rsidRDefault="009B21B0" w:rsidP="009B21B0">
      <w:pPr>
        <w:pStyle w:val="EndnoteText"/>
        <w:rPr>
          <w:lang w:val="en-US"/>
        </w:rPr>
      </w:pPr>
      <w:r w:rsidRPr="008D72F9">
        <w:rPr>
          <w:rStyle w:val="EndnoteReference"/>
        </w:rPr>
        <w:endnoteRef/>
      </w:r>
      <w:r w:rsidRPr="008D72F9">
        <w:t xml:space="preserve"> </w:t>
      </w:r>
      <w:hyperlink r:id="rId11" w:history="1">
        <w:bookmarkStart w:id="42" w:name="lt_pId077"/>
        <w:r w:rsidRPr="008D72F9">
          <w:rPr>
            <w:rStyle w:val="Hyperlink"/>
          </w:rPr>
          <w:t>Private Payor Journey to Biosimilar Switching</w:t>
        </w:r>
        <w:bookmarkEnd w:id="42"/>
      </w:hyperlink>
    </w:p>
  </w:endnote>
  <w:endnote w:id="13">
    <w:p w14:paraId="287708BE" w14:textId="77777777" w:rsidR="009B21B0" w:rsidRPr="008D72F9" w:rsidRDefault="009B21B0" w:rsidP="009B21B0">
      <w:pPr>
        <w:pStyle w:val="EndnoteText"/>
        <w:rPr>
          <w:lang w:val="en-US"/>
        </w:rPr>
      </w:pPr>
      <w:r w:rsidRPr="008D72F9">
        <w:rPr>
          <w:rStyle w:val="EndnoteReference"/>
        </w:rPr>
        <w:endnoteRef/>
      </w:r>
      <w:r w:rsidRPr="008D72F9">
        <w:t xml:space="preserve"> </w:t>
      </w:r>
      <w:hyperlink r:id="rId12" w:history="1">
        <w:bookmarkStart w:id="45" w:name="lt_pId078"/>
        <w:r w:rsidRPr="008D72F9">
          <w:rPr>
            <w:rStyle w:val="Hyperlink"/>
          </w:rPr>
          <w:t>Switching to biosimilars can generate savings</w:t>
        </w:r>
        <w:bookmarkEnd w:id="45"/>
      </w:hyperlink>
    </w:p>
  </w:endnote>
  <w:endnote w:id="14">
    <w:p w14:paraId="7B996E93" w14:textId="66475610" w:rsidR="00391067" w:rsidRPr="008D72F9" w:rsidRDefault="008D72F9">
      <w:pPr>
        <w:pStyle w:val="EndnoteText"/>
      </w:pPr>
      <w:r w:rsidRPr="008D72F9">
        <w:rPr>
          <w:rStyle w:val="EndnoteReference"/>
        </w:rPr>
        <w:endnoteRef/>
      </w:r>
      <w:r w:rsidRPr="008D72F9">
        <w:t xml:space="preserve"> </w:t>
      </w:r>
      <w:hyperlink r:id="rId13" w:history="1">
        <w:r w:rsidRPr="008D72F9">
          <w:rPr>
            <w:rStyle w:val="Hyperlink"/>
          </w:rPr>
          <w:t>PMPRB Report on Biosimilar Savings in Canada</w:t>
        </w:r>
      </w:hyperlink>
    </w:p>
  </w:endnote>
  <w:endnote w:id="15">
    <w:p w14:paraId="3369B5A3" w14:textId="77777777" w:rsidR="008D72F9" w:rsidRPr="00BB4D6B" w:rsidRDefault="008D72F9" w:rsidP="008D72F9">
      <w:pPr>
        <w:pStyle w:val="EndnoteText"/>
        <w:rPr>
          <w:lang w:val="en-US"/>
        </w:rPr>
      </w:pPr>
      <w:r>
        <w:rPr>
          <w:rStyle w:val="EndnoteReference"/>
        </w:rPr>
        <w:endnoteRef/>
      </w:r>
      <w:r>
        <w:t xml:space="preserve"> </w:t>
      </w:r>
      <w:hyperlink r:id="rId14" w:history="1">
        <w:r>
          <w:rPr>
            <w:rStyle w:val="Hyperlink"/>
          </w:rPr>
          <w:t xml:space="preserve">Responding to Alberta's Biosimilar Initiative </w:t>
        </w:r>
        <w:proofErr w:type="gramStart"/>
        <w:r>
          <w:rPr>
            <w:rStyle w:val="Hyperlink"/>
          </w:rPr>
          <w:t>|  Equitable</w:t>
        </w:r>
        <w:proofErr w:type="gramEnd"/>
        <w:r>
          <w:rPr>
            <w:rStyle w:val="Hyperlink"/>
          </w:rPr>
          <w:t xml:space="preserve"> Life's </w:t>
        </w:r>
      </w:hyperlink>
    </w:p>
  </w:endnote>
  <w:endnote w:id="16">
    <w:p w14:paraId="127881D8" w14:textId="5C6E3405" w:rsidR="00E90C44" w:rsidRPr="008D72F9" w:rsidRDefault="008D72F9">
      <w:pPr>
        <w:pStyle w:val="EndnoteText"/>
      </w:pPr>
      <w:r w:rsidRPr="008D72F9">
        <w:rPr>
          <w:rStyle w:val="EndnoteReference"/>
        </w:rPr>
        <w:endnoteRef/>
      </w:r>
      <w:r w:rsidRPr="008D72F9">
        <w:t xml:space="preserve"> </w:t>
      </w:r>
      <w:hyperlink r:id="rId15" w:history="1">
        <w:r w:rsidR="00153C53">
          <w:rPr>
            <w:rStyle w:val="Hyperlink"/>
          </w:rPr>
          <w:t>BiosimilarsinCanada_Infographic_APRIL2021_Fr.pdf (jointhealth.org)</w:t>
        </w:r>
      </w:hyperlink>
    </w:p>
  </w:endnote>
  <w:endnote w:id="17">
    <w:p w14:paraId="2762740B" w14:textId="655CFABC" w:rsidR="00B84560" w:rsidRPr="00C5574E" w:rsidRDefault="000662AB">
      <w:pPr>
        <w:pStyle w:val="EndnoteText"/>
        <w:rPr>
          <w:lang w:val="fr-FR"/>
        </w:rPr>
      </w:pPr>
      <w:r w:rsidRPr="008D72F9">
        <w:rPr>
          <w:rStyle w:val="EndnoteReference"/>
        </w:rPr>
        <w:endnoteRef/>
      </w:r>
      <w:r w:rsidRPr="00C5574E">
        <w:rPr>
          <w:lang w:val="fr-FR"/>
        </w:rPr>
        <w:t xml:space="preserve"> </w:t>
      </w:r>
      <w:hyperlink r:id="rId16" w:history="1">
        <w:r w:rsidR="00CD37CE">
          <w:rPr>
            <w:rStyle w:val="Hyperlink"/>
            <w:lang w:val="fr-FR"/>
          </w:rPr>
          <w:t xml:space="preserve">ACE </w:t>
        </w:r>
        <w:proofErr w:type="gramStart"/>
        <w:r w:rsidR="00CD37CE">
          <w:rPr>
            <w:rStyle w:val="Hyperlink"/>
            <w:lang w:val="fr-FR"/>
          </w:rPr>
          <w:t>Vidéos:</w:t>
        </w:r>
        <w:proofErr w:type="gramEnd"/>
        <w:r w:rsidR="00CD37CE">
          <w:rPr>
            <w:rStyle w:val="Hyperlink"/>
            <w:lang w:val="fr-FR"/>
          </w:rPr>
          <w:t xml:space="preserve"> Transition entre les médicaments biologiques et biosimilaires</w:t>
        </w:r>
      </w:hyperlink>
      <w:r w:rsidR="00354AFD" w:rsidRPr="00C5574E">
        <w:rPr>
          <w:lang w:val="fr-FR"/>
        </w:rPr>
        <w:t xml:space="preserve"> </w:t>
      </w:r>
    </w:p>
  </w:endnote>
  <w:endnote w:id="18">
    <w:p w14:paraId="170165CF" w14:textId="568354C3" w:rsidR="00A22C20" w:rsidRPr="00CD37CE" w:rsidRDefault="000662AB">
      <w:pPr>
        <w:pStyle w:val="EndnoteText"/>
        <w:rPr>
          <w:lang w:val="fr-FR"/>
        </w:rPr>
      </w:pPr>
      <w:r w:rsidRPr="008D72F9">
        <w:rPr>
          <w:rStyle w:val="EndnoteReference"/>
        </w:rPr>
        <w:endnoteRef/>
      </w:r>
      <w:r w:rsidRPr="00CD37CE">
        <w:rPr>
          <w:lang w:val="fr-FR"/>
        </w:rPr>
        <w:t xml:space="preserve"> </w:t>
      </w:r>
      <w:hyperlink r:id="rId17" w:history="1">
        <w:r w:rsidR="00CD37CE" w:rsidRPr="00CD37CE">
          <w:rPr>
            <w:rStyle w:val="Hyperlink"/>
            <w:lang w:val="fr-FR"/>
          </w:rPr>
          <w:t xml:space="preserve">ACE </w:t>
        </w:r>
        <w:proofErr w:type="gramStart"/>
        <w:r w:rsidR="00CD37CE" w:rsidRPr="00CD37CE">
          <w:rPr>
            <w:rStyle w:val="Hyperlink"/>
            <w:lang w:val="fr-FR"/>
          </w:rPr>
          <w:t>Vidéos:</w:t>
        </w:r>
        <w:proofErr w:type="gramEnd"/>
        <w:r w:rsidR="00CD37CE" w:rsidRPr="00CD37CE">
          <w:rPr>
            <w:rStyle w:val="Hyperlink"/>
            <w:lang w:val="fr-FR"/>
          </w:rPr>
          <w:t xml:space="preserve"> Aider les patients à gérer la transition entre les médicaments biologiques biosimilaires</w:t>
        </w:r>
      </w:hyperlink>
    </w:p>
  </w:endnote>
  <w:endnote w:id="19">
    <w:p w14:paraId="5ECE6D3C" w14:textId="3F2D45B4" w:rsidR="00F87D7A" w:rsidRPr="00CE539D" w:rsidRDefault="00F87D7A" w:rsidP="00F87D7A">
      <w:pPr>
        <w:pStyle w:val="EndnoteText"/>
        <w:rPr>
          <w:lang w:val="fr-FR"/>
        </w:rPr>
      </w:pPr>
      <w:r>
        <w:rPr>
          <w:rStyle w:val="EndnoteReference"/>
        </w:rPr>
        <w:endnoteRef/>
      </w:r>
      <w:r w:rsidRPr="00CE539D">
        <w:rPr>
          <w:lang w:val="fr-FR"/>
        </w:rPr>
        <w:t xml:space="preserve"> </w:t>
      </w:r>
      <w:hyperlink r:id="rId18" w:history="1">
        <w:proofErr w:type="gramStart"/>
        <w:r w:rsidR="00CE539D" w:rsidRPr="00CE539D">
          <w:rPr>
            <w:rStyle w:val="Hyperlink"/>
            <w:lang w:val="fr-FR"/>
          </w:rPr>
          <w:t>FCSD:</w:t>
        </w:r>
        <w:proofErr w:type="gramEnd"/>
        <w:r w:rsidR="00CE539D" w:rsidRPr="00CE539D">
          <w:rPr>
            <w:rStyle w:val="Hyperlink"/>
            <w:lang w:val="fr-FR"/>
          </w:rPr>
          <w:t xml:space="preserve"> Dépliant pour les patients atteints d’une MII et en voie de transition</w:t>
        </w:r>
      </w:hyperlink>
    </w:p>
  </w:endnote>
  <w:endnote w:id="20">
    <w:p w14:paraId="0F24BFF4" w14:textId="1A60F9E5" w:rsidR="00453F63" w:rsidRPr="00585B84" w:rsidRDefault="008D72F9">
      <w:pPr>
        <w:pStyle w:val="EndnoteText"/>
        <w:rPr>
          <w:lang w:val="fr-FR"/>
        </w:rPr>
      </w:pPr>
      <w:r w:rsidRPr="008D72F9">
        <w:rPr>
          <w:rStyle w:val="EndnoteReference"/>
        </w:rPr>
        <w:endnoteRef/>
      </w:r>
      <w:r w:rsidRPr="00585B84">
        <w:rPr>
          <w:lang w:val="fr-FR"/>
        </w:rPr>
        <w:t xml:space="preserve"> </w:t>
      </w:r>
      <w:hyperlink r:id="rId19" w:history="1">
        <w:r w:rsidR="00585B84" w:rsidRPr="00585B84">
          <w:rPr>
            <w:rStyle w:val="Hyperlink"/>
            <w:lang w:val="fr-FR"/>
          </w:rPr>
          <w:t xml:space="preserve">FCSD </w:t>
        </w:r>
        <w:proofErr w:type="spellStart"/>
        <w:proofErr w:type="gramStart"/>
        <w:r w:rsidR="00585B84" w:rsidRPr="00585B84">
          <w:rPr>
            <w:rStyle w:val="Hyperlink"/>
            <w:lang w:val="fr-FR"/>
          </w:rPr>
          <w:t>Video</w:t>
        </w:r>
        <w:proofErr w:type="spellEnd"/>
        <w:r w:rsidR="00585B84" w:rsidRPr="00585B84">
          <w:rPr>
            <w:rStyle w:val="Hyperlink"/>
            <w:lang w:val="fr-FR"/>
          </w:rPr>
          <w:t>:</w:t>
        </w:r>
        <w:proofErr w:type="gramEnd"/>
        <w:r w:rsidR="00585B84" w:rsidRPr="00585B84">
          <w:rPr>
            <w:rStyle w:val="Hyperlink"/>
            <w:lang w:val="fr-FR"/>
          </w:rPr>
          <w:t xml:space="preserve"> Changer d’un Médicament Biologique à un Biosimilaire</w:t>
        </w:r>
      </w:hyperlink>
    </w:p>
    <w:p w14:paraId="54DD19B0" w14:textId="63274B28" w:rsidR="00453F63" w:rsidRPr="00585B84" w:rsidRDefault="00453F63">
      <w:pPr>
        <w:pStyle w:val="EndnoteText"/>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0413" w14:textId="77777777" w:rsidR="00725F62" w:rsidRDefault="00725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454D" w14:textId="77777777" w:rsidR="00725F62" w:rsidRDefault="00725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38EDE" w14:textId="77777777" w:rsidR="00725F62" w:rsidRDefault="00725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37736" w14:textId="77777777" w:rsidR="00E05153" w:rsidRDefault="00E05153">
      <w:pPr>
        <w:spacing w:after="0" w:line="240" w:lineRule="auto"/>
      </w:pPr>
      <w:r>
        <w:separator/>
      </w:r>
    </w:p>
  </w:footnote>
  <w:footnote w:type="continuationSeparator" w:id="0">
    <w:p w14:paraId="0F0F5831" w14:textId="77777777" w:rsidR="00E05153" w:rsidRDefault="00E0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E4FA" w14:textId="77777777" w:rsidR="00725F62" w:rsidRDefault="00725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FE8E" w14:textId="1CEFF5F2" w:rsidR="00804DDA" w:rsidRDefault="000662AB" w:rsidP="00B93D69">
    <w:pPr>
      <w:tabs>
        <w:tab w:val="left" w:pos="250"/>
        <w:tab w:val="left" w:pos="2266"/>
      </w:tabs>
      <w:rPr>
        <w:b/>
        <w:bCs/>
        <w:sz w:val="24"/>
        <w:szCs w:val="24"/>
        <w:u w:val="single"/>
      </w:rPr>
    </w:pPr>
    <w:r>
      <w:rPr>
        <w:b/>
        <w:bCs/>
        <w:sz w:val="24"/>
        <w:szCs w:val="24"/>
        <w:u w:val="single"/>
      </w:rPr>
      <w:t xml:space="preserve">                                                                                                    </w:t>
    </w:r>
  </w:p>
  <w:p w14:paraId="4D527919" w14:textId="556E8D8B" w:rsidR="005904D4" w:rsidRDefault="00D13784">
    <w:pPr>
      <w:pStyle w:val="Header"/>
    </w:pPr>
  </w:p>
  <w:p w14:paraId="5152AC6F" w14:textId="77777777" w:rsidR="005904D4" w:rsidRDefault="00D13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C6BBA" w14:textId="77777777" w:rsidR="00725F62" w:rsidRDefault="00725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6A2B"/>
    <w:multiLevelType w:val="hybridMultilevel"/>
    <w:tmpl w:val="FFFFFFFF"/>
    <w:lvl w:ilvl="0" w:tplc="73146A16">
      <w:start w:val="1"/>
      <w:numFmt w:val="bullet"/>
      <w:lvlText w:val=""/>
      <w:lvlJc w:val="left"/>
      <w:pPr>
        <w:ind w:left="360" w:hanging="360"/>
      </w:pPr>
      <w:rPr>
        <w:rFonts w:ascii="Symbol" w:hAnsi="Symbol" w:hint="default"/>
      </w:rPr>
    </w:lvl>
    <w:lvl w:ilvl="1" w:tplc="3C54D968">
      <w:start w:val="1"/>
      <w:numFmt w:val="bullet"/>
      <w:lvlText w:val="o"/>
      <w:lvlJc w:val="left"/>
      <w:pPr>
        <w:ind w:left="1080" w:hanging="360"/>
      </w:pPr>
      <w:rPr>
        <w:rFonts w:ascii="Courier New" w:hAnsi="Courier New" w:hint="default"/>
      </w:rPr>
    </w:lvl>
    <w:lvl w:ilvl="2" w:tplc="E912FBB4">
      <w:start w:val="1"/>
      <w:numFmt w:val="bullet"/>
      <w:lvlText w:val=""/>
      <w:lvlJc w:val="left"/>
      <w:pPr>
        <w:ind w:left="1800" w:hanging="360"/>
      </w:pPr>
      <w:rPr>
        <w:rFonts w:ascii="Wingdings" w:hAnsi="Wingdings" w:hint="default"/>
      </w:rPr>
    </w:lvl>
    <w:lvl w:ilvl="3" w:tplc="B9D008BA">
      <w:start w:val="1"/>
      <w:numFmt w:val="bullet"/>
      <w:lvlText w:val=""/>
      <w:lvlJc w:val="left"/>
      <w:pPr>
        <w:ind w:left="2520" w:hanging="360"/>
      </w:pPr>
      <w:rPr>
        <w:rFonts w:ascii="Symbol" w:hAnsi="Symbol" w:hint="default"/>
      </w:rPr>
    </w:lvl>
    <w:lvl w:ilvl="4" w:tplc="08422F94">
      <w:start w:val="1"/>
      <w:numFmt w:val="bullet"/>
      <w:lvlText w:val="o"/>
      <w:lvlJc w:val="left"/>
      <w:pPr>
        <w:ind w:left="3240" w:hanging="360"/>
      </w:pPr>
      <w:rPr>
        <w:rFonts w:ascii="Courier New" w:hAnsi="Courier New" w:hint="default"/>
      </w:rPr>
    </w:lvl>
    <w:lvl w:ilvl="5" w:tplc="8952B808">
      <w:start w:val="1"/>
      <w:numFmt w:val="bullet"/>
      <w:lvlText w:val=""/>
      <w:lvlJc w:val="left"/>
      <w:pPr>
        <w:ind w:left="3960" w:hanging="360"/>
      </w:pPr>
      <w:rPr>
        <w:rFonts w:ascii="Wingdings" w:hAnsi="Wingdings" w:hint="default"/>
      </w:rPr>
    </w:lvl>
    <w:lvl w:ilvl="6" w:tplc="A852C6C6">
      <w:start w:val="1"/>
      <w:numFmt w:val="bullet"/>
      <w:lvlText w:val=""/>
      <w:lvlJc w:val="left"/>
      <w:pPr>
        <w:ind w:left="4680" w:hanging="360"/>
      </w:pPr>
      <w:rPr>
        <w:rFonts w:ascii="Symbol" w:hAnsi="Symbol" w:hint="default"/>
      </w:rPr>
    </w:lvl>
    <w:lvl w:ilvl="7" w:tplc="43F68E6A">
      <w:start w:val="1"/>
      <w:numFmt w:val="bullet"/>
      <w:lvlText w:val="o"/>
      <w:lvlJc w:val="left"/>
      <w:pPr>
        <w:ind w:left="5400" w:hanging="360"/>
      </w:pPr>
      <w:rPr>
        <w:rFonts w:ascii="Courier New" w:hAnsi="Courier New" w:hint="default"/>
      </w:rPr>
    </w:lvl>
    <w:lvl w:ilvl="8" w:tplc="18D63326">
      <w:start w:val="1"/>
      <w:numFmt w:val="bullet"/>
      <w:lvlText w:val=""/>
      <w:lvlJc w:val="left"/>
      <w:pPr>
        <w:ind w:left="6120" w:hanging="360"/>
      </w:pPr>
      <w:rPr>
        <w:rFonts w:ascii="Wingdings" w:hAnsi="Wingdings" w:hint="default"/>
      </w:rPr>
    </w:lvl>
  </w:abstractNum>
  <w:abstractNum w:abstractNumId="1" w15:restartNumberingAfterBreak="0">
    <w:nsid w:val="03377DE0"/>
    <w:multiLevelType w:val="hybridMultilevel"/>
    <w:tmpl w:val="36BC2B96"/>
    <w:lvl w:ilvl="0" w:tplc="472A7BAE">
      <w:start w:val="1"/>
      <w:numFmt w:val="bullet"/>
      <w:lvlText w:val=""/>
      <w:lvlJc w:val="left"/>
      <w:pPr>
        <w:ind w:left="720" w:hanging="360"/>
      </w:pPr>
      <w:rPr>
        <w:rFonts w:ascii="Wingdings" w:hAnsi="Wingdings" w:hint="default"/>
      </w:rPr>
    </w:lvl>
    <w:lvl w:ilvl="1" w:tplc="50A8D4B2">
      <w:start w:val="1"/>
      <w:numFmt w:val="bullet"/>
      <w:lvlText w:val="o"/>
      <w:lvlJc w:val="left"/>
      <w:pPr>
        <w:ind w:left="1440" w:hanging="360"/>
      </w:pPr>
      <w:rPr>
        <w:rFonts w:ascii="Courier New" w:hAnsi="Courier New" w:cs="Courier New" w:hint="default"/>
      </w:rPr>
    </w:lvl>
    <w:lvl w:ilvl="2" w:tplc="58ECB734" w:tentative="1">
      <w:start w:val="1"/>
      <w:numFmt w:val="bullet"/>
      <w:lvlText w:val=""/>
      <w:lvlJc w:val="left"/>
      <w:pPr>
        <w:ind w:left="2160" w:hanging="360"/>
      </w:pPr>
      <w:rPr>
        <w:rFonts w:ascii="Wingdings" w:hAnsi="Wingdings" w:hint="default"/>
      </w:rPr>
    </w:lvl>
    <w:lvl w:ilvl="3" w:tplc="B6F66DCA" w:tentative="1">
      <w:start w:val="1"/>
      <w:numFmt w:val="bullet"/>
      <w:lvlText w:val=""/>
      <w:lvlJc w:val="left"/>
      <w:pPr>
        <w:ind w:left="2880" w:hanging="360"/>
      </w:pPr>
      <w:rPr>
        <w:rFonts w:ascii="Symbol" w:hAnsi="Symbol" w:hint="default"/>
      </w:rPr>
    </w:lvl>
    <w:lvl w:ilvl="4" w:tplc="4014999A" w:tentative="1">
      <w:start w:val="1"/>
      <w:numFmt w:val="bullet"/>
      <w:lvlText w:val="o"/>
      <w:lvlJc w:val="left"/>
      <w:pPr>
        <w:ind w:left="3600" w:hanging="360"/>
      </w:pPr>
      <w:rPr>
        <w:rFonts w:ascii="Courier New" w:hAnsi="Courier New" w:cs="Courier New" w:hint="default"/>
      </w:rPr>
    </w:lvl>
    <w:lvl w:ilvl="5" w:tplc="0E867DD2" w:tentative="1">
      <w:start w:val="1"/>
      <w:numFmt w:val="bullet"/>
      <w:lvlText w:val=""/>
      <w:lvlJc w:val="left"/>
      <w:pPr>
        <w:ind w:left="4320" w:hanging="360"/>
      </w:pPr>
      <w:rPr>
        <w:rFonts w:ascii="Wingdings" w:hAnsi="Wingdings" w:hint="default"/>
      </w:rPr>
    </w:lvl>
    <w:lvl w:ilvl="6" w:tplc="4DF0552C" w:tentative="1">
      <w:start w:val="1"/>
      <w:numFmt w:val="bullet"/>
      <w:lvlText w:val=""/>
      <w:lvlJc w:val="left"/>
      <w:pPr>
        <w:ind w:left="5040" w:hanging="360"/>
      </w:pPr>
      <w:rPr>
        <w:rFonts w:ascii="Symbol" w:hAnsi="Symbol" w:hint="default"/>
      </w:rPr>
    </w:lvl>
    <w:lvl w:ilvl="7" w:tplc="FE64F58A" w:tentative="1">
      <w:start w:val="1"/>
      <w:numFmt w:val="bullet"/>
      <w:lvlText w:val="o"/>
      <w:lvlJc w:val="left"/>
      <w:pPr>
        <w:ind w:left="5760" w:hanging="360"/>
      </w:pPr>
      <w:rPr>
        <w:rFonts w:ascii="Courier New" w:hAnsi="Courier New" w:cs="Courier New" w:hint="default"/>
      </w:rPr>
    </w:lvl>
    <w:lvl w:ilvl="8" w:tplc="4C6AD75C" w:tentative="1">
      <w:start w:val="1"/>
      <w:numFmt w:val="bullet"/>
      <w:lvlText w:val=""/>
      <w:lvlJc w:val="left"/>
      <w:pPr>
        <w:ind w:left="6480" w:hanging="360"/>
      </w:pPr>
      <w:rPr>
        <w:rFonts w:ascii="Wingdings" w:hAnsi="Wingdings" w:hint="default"/>
      </w:rPr>
    </w:lvl>
  </w:abstractNum>
  <w:abstractNum w:abstractNumId="2" w15:restartNumberingAfterBreak="0">
    <w:nsid w:val="319319C8"/>
    <w:multiLevelType w:val="hybridMultilevel"/>
    <w:tmpl w:val="4FD88B82"/>
    <w:lvl w:ilvl="0" w:tplc="F60CC65E">
      <w:numFmt w:val="bullet"/>
      <w:lvlText w:val="-"/>
      <w:lvlJc w:val="left"/>
      <w:pPr>
        <w:ind w:left="720" w:hanging="360"/>
      </w:pPr>
      <w:rPr>
        <w:rFonts w:ascii="Calibri" w:eastAsiaTheme="minorHAnsi" w:hAnsi="Calibri" w:cs="Calibri" w:hint="default"/>
      </w:rPr>
    </w:lvl>
    <w:lvl w:ilvl="1" w:tplc="80CC8CBC" w:tentative="1">
      <w:start w:val="1"/>
      <w:numFmt w:val="bullet"/>
      <w:lvlText w:val="o"/>
      <w:lvlJc w:val="left"/>
      <w:pPr>
        <w:ind w:left="1440" w:hanging="360"/>
      </w:pPr>
      <w:rPr>
        <w:rFonts w:ascii="Courier New" w:hAnsi="Courier New" w:cs="Courier New" w:hint="default"/>
      </w:rPr>
    </w:lvl>
    <w:lvl w:ilvl="2" w:tplc="6B2CE896" w:tentative="1">
      <w:start w:val="1"/>
      <w:numFmt w:val="bullet"/>
      <w:lvlText w:val=""/>
      <w:lvlJc w:val="left"/>
      <w:pPr>
        <w:ind w:left="2160" w:hanging="360"/>
      </w:pPr>
      <w:rPr>
        <w:rFonts w:ascii="Wingdings" w:hAnsi="Wingdings" w:hint="default"/>
      </w:rPr>
    </w:lvl>
    <w:lvl w:ilvl="3" w:tplc="72F6E18E" w:tentative="1">
      <w:start w:val="1"/>
      <w:numFmt w:val="bullet"/>
      <w:lvlText w:val=""/>
      <w:lvlJc w:val="left"/>
      <w:pPr>
        <w:ind w:left="2880" w:hanging="360"/>
      </w:pPr>
      <w:rPr>
        <w:rFonts w:ascii="Symbol" w:hAnsi="Symbol" w:hint="default"/>
      </w:rPr>
    </w:lvl>
    <w:lvl w:ilvl="4" w:tplc="C86089D0" w:tentative="1">
      <w:start w:val="1"/>
      <w:numFmt w:val="bullet"/>
      <w:lvlText w:val="o"/>
      <w:lvlJc w:val="left"/>
      <w:pPr>
        <w:ind w:left="3600" w:hanging="360"/>
      </w:pPr>
      <w:rPr>
        <w:rFonts w:ascii="Courier New" w:hAnsi="Courier New" w:cs="Courier New" w:hint="default"/>
      </w:rPr>
    </w:lvl>
    <w:lvl w:ilvl="5" w:tplc="82963E44" w:tentative="1">
      <w:start w:val="1"/>
      <w:numFmt w:val="bullet"/>
      <w:lvlText w:val=""/>
      <w:lvlJc w:val="left"/>
      <w:pPr>
        <w:ind w:left="4320" w:hanging="360"/>
      </w:pPr>
      <w:rPr>
        <w:rFonts w:ascii="Wingdings" w:hAnsi="Wingdings" w:hint="default"/>
      </w:rPr>
    </w:lvl>
    <w:lvl w:ilvl="6" w:tplc="036A51B2" w:tentative="1">
      <w:start w:val="1"/>
      <w:numFmt w:val="bullet"/>
      <w:lvlText w:val=""/>
      <w:lvlJc w:val="left"/>
      <w:pPr>
        <w:ind w:left="5040" w:hanging="360"/>
      </w:pPr>
      <w:rPr>
        <w:rFonts w:ascii="Symbol" w:hAnsi="Symbol" w:hint="default"/>
      </w:rPr>
    </w:lvl>
    <w:lvl w:ilvl="7" w:tplc="AB186404" w:tentative="1">
      <w:start w:val="1"/>
      <w:numFmt w:val="bullet"/>
      <w:lvlText w:val="o"/>
      <w:lvlJc w:val="left"/>
      <w:pPr>
        <w:ind w:left="5760" w:hanging="360"/>
      </w:pPr>
      <w:rPr>
        <w:rFonts w:ascii="Courier New" w:hAnsi="Courier New" w:cs="Courier New" w:hint="default"/>
      </w:rPr>
    </w:lvl>
    <w:lvl w:ilvl="8" w:tplc="8606FF2C" w:tentative="1">
      <w:start w:val="1"/>
      <w:numFmt w:val="bullet"/>
      <w:lvlText w:val=""/>
      <w:lvlJc w:val="left"/>
      <w:pPr>
        <w:ind w:left="6480" w:hanging="360"/>
      </w:pPr>
      <w:rPr>
        <w:rFonts w:ascii="Wingdings" w:hAnsi="Wingdings" w:hint="default"/>
      </w:rPr>
    </w:lvl>
  </w:abstractNum>
  <w:abstractNum w:abstractNumId="3" w15:restartNumberingAfterBreak="0">
    <w:nsid w:val="319E28C0"/>
    <w:multiLevelType w:val="hybridMultilevel"/>
    <w:tmpl w:val="A9802EF0"/>
    <w:lvl w:ilvl="0" w:tplc="CA6AF4AC">
      <w:start w:val="1"/>
      <w:numFmt w:val="bullet"/>
      <w:lvlText w:val=""/>
      <w:lvlJc w:val="left"/>
      <w:pPr>
        <w:ind w:left="720" w:hanging="360"/>
      </w:pPr>
      <w:rPr>
        <w:rFonts w:ascii="Wingdings" w:hAnsi="Wingdings" w:hint="default"/>
      </w:rPr>
    </w:lvl>
    <w:lvl w:ilvl="1" w:tplc="EE840680" w:tentative="1">
      <w:start w:val="1"/>
      <w:numFmt w:val="bullet"/>
      <w:lvlText w:val="o"/>
      <w:lvlJc w:val="left"/>
      <w:pPr>
        <w:ind w:left="1440" w:hanging="360"/>
      </w:pPr>
      <w:rPr>
        <w:rFonts w:ascii="Courier New" w:hAnsi="Courier New" w:cs="Courier New" w:hint="default"/>
      </w:rPr>
    </w:lvl>
    <w:lvl w:ilvl="2" w:tplc="9D66DB9E" w:tentative="1">
      <w:start w:val="1"/>
      <w:numFmt w:val="bullet"/>
      <w:lvlText w:val=""/>
      <w:lvlJc w:val="left"/>
      <w:pPr>
        <w:ind w:left="2160" w:hanging="360"/>
      </w:pPr>
      <w:rPr>
        <w:rFonts w:ascii="Wingdings" w:hAnsi="Wingdings" w:hint="default"/>
      </w:rPr>
    </w:lvl>
    <w:lvl w:ilvl="3" w:tplc="DEA60FCA" w:tentative="1">
      <w:start w:val="1"/>
      <w:numFmt w:val="bullet"/>
      <w:lvlText w:val=""/>
      <w:lvlJc w:val="left"/>
      <w:pPr>
        <w:ind w:left="2880" w:hanging="360"/>
      </w:pPr>
      <w:rPr>
        <w:rFonts w:ascii="Symbol" w:hAnsi="Symbol" w:hint="default"/>
      </w:rPr>
    </w:lvl>
    <w:lvl w:ilvl="4" w:tplc="FAAC319E" w:tentative="1">
      <w:start w:val="1"/>
      <w:numFmt w:val="bullet"/>
      <w:lvlText w:val="o"/>
      <w:lvlJc w:val="left"/>
      <w:pPr>
        <w:ind w:left="3600" w:hanging="360"/>
      </w:pPr>
      <w:rPr>
        <w:rFonts w:ascii="Courier New" w:hAnsi="Courier New" w:cs="Courier New" w:hint="default"/>
      </w:rPr>
    </w:lvl>
    <w:lvl w:ilvl="5" w:tplc="F05A3610" w:tentative="1">
      <w:start w:val="1"/>
      <w:numFmt w:val="bullet"/>
      <w:lvlText w:val=""/>
      <w:lvlJc w:val="left"/>
      <w:pPr>
        <w:ind w:left="4320" w:hanging="360"/>
      </w:pPr>
      <w:rPr>
        <w:rFonts w:ascii="Wingdings" w:hAnsi="Wingdings" w:hint="default"/>
      </w:rPr>
    </w:lvl>
    <w:lvl w:ilvl="6" w:tplc="6E1470F0" w:tentative="1">
      <w:start w:val="1"/>
      <w:numFmt w:val="bullet"/>
      <w:lvlText w:val=""/>
      <w:lvlJc w:val="left"/>
      <w:pPr>
        <w:ind w:left="5040" w:hanging="360"/>
      </w:pPr>
      <w:rPr>
        <w:rFonts w:ascii="Symbol" w:hAnsi="Symbol" w:hint="default"/>
      </w:rPr>
    </w:lvl>
    <w:lvl w:ilvl="7" w:tplc="099022DE" w:tentative="1">
      <w:start w:val="1"/>
      <w:numFmt w:val="bullet"/>
      <w:lvlText w:val="o"/>
      <w:lvlJc w:val="left"/>
      <w:pPr>
        <w:ind w:left="5760" w:hanging="360"/>
      </w:pPr>
      <w:rPr>
        <w:rFonts w:ascii="Courier New" w:hAnsi="Courier New" w:cs="Courier New" w:hint="default"/>
      </w:rPr>
    </w:lvl>
    <w:lvl w:ilvl="8" w:tplc="0B3202A4" w:tentative="1">
      <w:start w:val="1"/>
      <w:numFmt w:val="bullet"/>
      <w:lvlText w:val=""/>
      <w:lvlJc w:val="left"/>
      <w:pPr>
        <w:ind w:left="6480" w:hanging="360"/>
      </w:pPr>
      <w:rPr>
        <w:rFonts w:ascii="Wingdings" w:hAnsi="Wingdings" w:hint="default"/>
      </w:rPr>
    </w:lvl>
  </w:abstractNum>
  <w:abstractNum w:abstractNumId="4" w15:restartNumberingAfterBreak="0">
    <w:nsid w:val="325D6325"/>
    <w:multiLevelType w:val="hybridMultilevel"/>
    <w:tmpl w:val="A198D102"/>
    <w:lvl w:ilvl="0" w:tplc="D2DA904A">
      <w:start w:val="1"/>
      <w:numFmt w:val="bullet"/>
      <w:lvlText w:val=""/>
      <w:lvlJc w:val="left"/>
      <w:pPr>
        <w:ind w:left="720" w:hanging="360"/>
      </w:pPr>
      <w:rPr>
        <w:rFonts w:ascii="Wingdings" w:hAnsi="Wingdings" w:hint="default"/>
      </w:rPr>
    </w:lvl>
    <w:lvl w:ilvl="1" w:tplc="F8A45D26">
      <w:start w:val="1"/>
      <w:numFmt w:val="bullet"/>
      <w:lvlText w:val="o"/>
      <w:lvlJc w:val="left"/>
      <w:pPr>
        <w:ind w:left="1440" w:hanging="360"/>
      </w:pPr>
      <w:rPr>
        <w:rFonts w:ascii="Courier New" w:hAnsi="Courier New" w:cs="Courier New" w:hint="default"/>
      </w:rPr>
    </w:lvl>
    <w:lvl w:ilvl="2" w:tplc="04023916" w:tentative="1">
      <w:start w:val="1"/>
      <w:numFmt w:val="bullet"/>
      <w:lvlText w:val=""/>
      <w:lvlJc w:val="left"/>
      <w:pPr>
        <w:ind w:left="2160" w:hanging="360"/>
      </w:pPr>
      <w:rPr>
        <w:rFonts w:ascii="Wingdings" w:hAnsi="Wingdings" w:hint="default"/>
      </w:rPr>
    </w:lvl>
    <w:lvl w:ilvl="3" w:tplc="80C0AED6" w:tentative="1">
      <w:start w:val="1"/>
      <w:numFmt w:val="bullet"/>
      <w:lvlText w:val=""/>
      <w:lvlJc w:val="left"/>
      <w:pPr>
        <w:ind w:left="2880" w:hanging="360"/>
      </w:pPr>
      <w:rPr>
        <w:rFonts w:ascii="Symbol" w:hAnsi="Symbol" w:hint="default"/>
      </w:rPr>
    </w:lvl>
    <w:lvl w:ilvl="4" w:tplc="C0BA49BA" w:tentative="1">
      <w:start w:val="1"/>
      <w:numFmt w:val="bullet"/>
      <w:lvlText w:val="o"/>
      <w:lvlJc w:val="left"/>
      <w:pPr>
        <w:ind w:left="3600" w:hanging="360"/>
      </w:pPr>
      <w:rPr>
        <w:rFonts w:ascii="Courier New" w:hAnsi="Courier New" w:cs="Courier New" w:hint="default"/>
      </w:rPr>
    </w:lvl>
    <w:lvl w:ilvl="5" w:tplc="CB18D008" w:tentative="1">
      <w:start w:val="1"/>
      <w:numFmt w:val="bullet"/>
      <w:lvlText w:val=""/>
      <w:lvlJc w:val="left"/>
      <w:pPr>
        <w:ind w:left="4320" w:hanging="360"/>
      </w:pPr>
      <w:rPr>
        <w:rFonts w:ascii="Wingdings" w:hAnsi="Wingdings" w:hint="default"/>
      </w:rPr>
    </w:lvl>
    <w:lvl w:ilvl="6" w:tplc="47FAB374" w:tentative="1">
      <w:start w:val="1"/>
      <w:numFmt w:val="bullet"/>
      <w:lvlText w:val=""/>
      <w:lvlJc w:val="left"/>
      <w:pPr>
        <w:ind w:left="5040" w:hanging="360"/>
      </w:pPr>
      <w:rPr>
        <w:rFonts w:ascii="Symbol" w:hAnsi="Symbol" w:hint="default"/>
      </w:rPr>
    </w:lvl>
    <w:lvl w:ilvl="7" w:tplc="020CFA46" w:tentative="1">
      <w:start w:val="1"/>
      <w:numFmt w:val="bullet"/>
      <w:lvlText w:val="o"/>
      <w:lvlJc w:val="left"/>
      <w:pPr>
        <w:ind w:left="5760" w:hanging="360"/>
      </w:pPr>
      <w:rPr>
        <w:rFonts w:ascii="Courier New" w:hAnsi="Courier New" w:cs="Courier New" w:hint="default"/>
      </w:rPr>
    </w:lvl>
    <w:lvl w:ilvl="8" w:tplc="06C2BA26" w:tentative="1">
      <w:start w:val="1"/>
      <w:numFmt w:val="bullet"/>
      <w:lvlText w:val=""/>
      <w:lvlJc w:val="left"/>
      <w:pPr>
        <w:ind w:left="6480" w:hanging="360"/>
      </w:pPr>
      <w:rPr>
        <w:rFonts w:ascii="Wingdings" w:hAnsi="Wingdings" w:hint="default"/>
      </w:rPr>
    </w:lvl>
  </w:abstractNum>
  <w:abstractNum w:abstractNumId="5" w15:restartNumberingAfterBreak="0">
    <w:nsid w:val="425F789F"/>
    <w:multiLevelType w:val="hybridMultilevel"/>
    <w:tmpl w:val="72DE0CA8"/>
    <w:lvl w:ilvl="0" w:tplc="E71EEA9A">
      <w:start w:val="3"/>
      <w:numFmt w:val="bullet"/>
      <w:lvlText w:val="-"/>
      <w:lvlJc w:val="left"/>
      <w:pPr>
        <w:ind w:left="360" w:hanging="360"/>
      </w:pPr>
      <w:rPr>
        <w:rFonts w:ascii="Calibri" w:eastAsiaTheme="minorHAnsi" w:hAnsi="Calibri" w:cs="Calibri" w:hint="default"/>
      </w:rPr>
    </w:lvl>
    <w:lvl w:ilvl="1" w:tplc="BEAEA606" w:tentative="1">
      <w:start w:val="1"/>
      <w:numFmt w:val="bullet"/>
      <w:lvlText w:val="o"/>
      <w:lvlJc w:val="left"/>
      <w:pPr>
        <w:ind w:left="1080" w:hanging="360"/>
      </w:pPr>
      <w:rPr>
        <w:rFonts w:ascii="Courier New" w:hAnsi="Courier New" w:cs="Courier New" w:hint="default"/>
      </w:rPr>
    </w:lvl>
    <w:lvl w:ilvl="2" w:tplc="E7924CBC" w:tentative="1">
      <w:start w:val="1"/>
      <w:numFmt w:val="bullet"/>
      <w:lvlText w:val=""/>
      <w:lvlJc w:val="left"/>
      <w:pPr>
        <w:ind w:left="1800" w:hanging="360"/>
      </w:pPr>
      <w:rPr>
        <w:rFonts w:ascii="Wingdings" w:hAnsi="Wingdings" w:hint="default"/>
      </w:rPr>
    </w:lvl>
    <w:lvl w:ilvl="3" w:tplc="39B2A918" w:tentative="1">
      <w:start w:val="1"/>
      <w:numFmt w:val="bullet"/>
      <w:lvlText w:val=""/>
      <w:lvlJc w:val="left"/>
      <w:pPr>
        <w:ind w:left="2520" w:hanging="360"/>
      </w:pPr>
      <w:rPr>
        <w:rFonts w:ascii="Symbol" w:hAnsi="Symbol" w:hint="default"/>
      </w:rPr>
    </w:lvl>
    <w:lvl w:ilvl="4" w:tplc="8D767B12" w:tentative="1">
      <w:start w:val="1"/>
      <w:numFmt w:val="bullet"/>
      <w:lvlText w:val="o"/>
      <w:lvlJc w:val="left"/>
      <w:pPr>
        <w:ind w:left="3240" w:hanging="360"/>
      </w:pPr>
      <w:rPr>
        <w:rFonts w:ascii="Courier New" w:hAnsi="Courier New" w:cs="Courier New" w:hint="default"/>
      </w:rPr>
    </w:lvl>
    <w:lvl w:ilvl="5" w:tplc="06BEE124" w:tentative="1">
      <w:start w:val="1"/>
      <w:numFmt w:val="bullet"/>
      <w:lvlText w:val=""/>
      <w:lvlJc w:val="left"/>
      <w:pPr>
        <w:ind w:left="3960" w:hanging="360"/>
      </w:pPr>
      <w:rPr>
        <w:rFonts w:ascii="Wingdings" w:hAnsi="Wingdings" w:hint="default"/>
      </w:rPr>
    </w:lvl>
    <w:lvl w:ilvl="6" w:tplc="9CB0A49E" w:tentative="1">
      <w:start w:val="1"/>
      <w:numFmt w:val="bullet"/>
      <w:lvlText w:val=""/>
      <w:lvlJc w:val="left"/>
      <w:pPr>
        <w:ind w:left="4680" w:hanging="360"/>
      </w:pPr>
      <w:rPr>
        <w:rFonts w:ascii="Symbol" w:hAnsi="Symbol" w:hint="default"/>
      </w:rPr>
    </w:lvl>
    <w:lvl w:ilvl="7" w:tplc="F5820C08" w:tentative="1">
      <w:start w:val="1"/>
      <w:numFmt w:val="bullet"/>
      <w:lvlText w:val="o"/>
      <w:lvlJc w:val="left"/>
      <w:pPr>
        <w:ind w:left="5400" w:hanging="360"/>
      </w:pPr>
      <w:rPr>
        <w:rFonts w:ascii="Courier New" w:hAnsi="Courier New" w:cs="Courier New" w:hint="default"/>
      </w:rPr>
    </w:lvl>
    <w:lvl w:ilvl="8" w:tplc="F6361570" w:tentative="1">
      <w:start w:val="1"/>
      <w:numFmt w:val="bullet"/>
      <w:lvlText w:val=""/>
      <w:lvlJc w:val="left"/>
      <w:pPr>
        <w:ind w:left="6120" w:hanging="360"/>
      </w:pPr>
      <w:rPr>
        <w:rFonts w:ascii="Wingdings" w:hAnsi="Wingdings" w:hint="default"/>
      </w:rPr>
    </w:lvl>
  </w:abstractNum>
  <w:abstractNum w:abstractNumId="6" w15:restartNumberingAfterBreak="0">
    <w:nsid w:val="54E10CB0"/>
    <w:multiLevelType w:val="hybridMultilevel"/>
    <w:tmpl w:val="C95EA4B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BF14B59"/>
    <w:multiLevelType w:val="hybridMultilevel"/>
    <w:tmpl w:val="B394A3A6"/>
    <w:lvl w:ilvl="0" w:tplc="9B243F1E">
      <w:start w:val="1"/>
      <w:numFmt w:val="bullet"/>
      <w:lvlText w:val=""/>
      <w:lvlJc w:val="left"/>
      <w:pPr>
        <w:ind w:left="720" w:hanging="360"/>
      </w:pPr>
      <w:rPr>
        <w:rFonts w:ascii="Symbol" w:hAnsi="Symbol" w:hint="default"/>
      </w:rPr>
    </w:lvl>
    <w:lvl w:ilvl="1" w:tplc="B43617EA" w:tentative="1">
      <w:start w:val="1"/>
      <w:numFmt w:val="bullet"/>
      <w:lvlText w:val="o"/>
      <w:lvlJc w:val="left"/>
      <w:pPr>
        <w:ind w:left="1440" w:hanging="360"/>
      </w:pPr>
      <w:rPr>
        <w:rFonts w:ascii="Courier New" w:hAnsi="Courier New" w:cs="Courier New" w:hint="default"/>
      </w:rPr>
    </w:lvl>
    <w:lvl w:ilvl="2" w:tplc="B4E2F0B2" w:tentative="1">
      <w:start w:val="1"/>
      <w:numFmt w:val="bullet"/>
      <w:lvlText w:val=""/>
      <w:lvlJc w:val="left"/>
      <w:pPr>
        <w:ind w:left="2160" w:hanging="360"/>
      </w:pPr>
      <w:rPr>
        <w:rFonts w:ascii="Wingdings" w:hAnsi="Wingdings" w:hint="default"/>
      </w:rPr>
    </w:lvl>
    <w:lvl w:ilvl="3" w:tplc="8C6692D6" w:tentative="1">
      <w:start w:val="1"/>
      <w:numFmt w:val="bullet"/>
      <w:lvlText w:val=""/>
      <w:lvlJc w:val="left"/>
      <w:pPr>
        <w:ind w:left="2880" w:hanging="360"/>
      </w:pPr>
      <w:rPr>
        <w:rFonts w:ascii="Symbol" w:hAnsi="Symbol" w:hint="default"/>
      </w:rPr>
    </w:lvl>
    <w:lvl w:ilvl="4" w:tplc="B8985294" w:tentative="1">
      <w:start w:val="1"/>
      <w:numFmt w:val="bullet"/>
      <w:lvlText w:val="o"/>
      <w:lvlJc w:val="left"/>
      <w:pPr>
        <w:ind w:left="3600" w:hanging="360"/>
      </w:pPr>
      <w:rPr>
        <w:rFonts w:ascii="Courier New" w:hAnsi="Courier New" w:cs="Courier New" w:hint="default"/>
      </w:rPr>
    </w:lvl>
    <w:lvl w:ilvl="5" w:tplc="5E2C389C" w:tentative="1">
      <w:start w:val="1"/>
      <w:numFmt w:val="bullet"/>
      <w:lvlText w:val=""/>
      <w:lvlJc w:val="left"/>
      <w:pPr>
        <w:ind w:left="4320" w:hanging="360"/>
      </w:pPr>
      <w:rPr>
        <w:rFonts w:ascii="Wingdings" w:hAnsi="Wingdings" w:hint="default"/>
      </w:rPr>
    </w:lvl>
    <w:lvl w:ilvl="6" w:tplc="447CCA4E" w:tentative="1">
      <w:start w:val="1"/>
      <w:numFmt w:val="bullet"/>
      <w:lvlText w:val=""/>
      <w:lvlJc w:val="left"/>
      <w:pPr>
        <w:ind w:left="5040" w:hanging="360"/>
      </w:pPr>
      <w:rPr>
        <w:rFonts w:ascii="Symbol" w:hAnsi="Symbol" w:hint="default"/>
      </w:rPr>
    </w:lvl>
    <w:lvl w:ilvl="7" w:tplc="C734BA2A" w:tentative="1">
      <w:start w:val="1"/>
      <w:numFmt w:val="bullet"/>
      <w:lvlText w:val="o"/>
      <w:lvlJc w:val="left"/>
      <w:pPr>
        <w:ind w:left="5760" w:hanging="360"/>
      </w:pPr>
      <w:rPr>
        <w:rFonts w:ascii="Courier New" w:hAnsi="Courier New" w:cs="Courier New" w:hint="default"/>
      </w:rPr>
    </w:lvl>
    <w:lvl w:ilvl="8" w:tplc="872667AC" w:tentative="1">
      <w:start w:val="1"/>
      <w:numFmt w:val="bullet"/>
      <w:lvlText w:val=""/>
      <w:lvlJc w:val="left"/>
      <w:pPr>
        <w:ind w:left="6480" w:hanging="360"/>
      </w:pPr>
      <w:rPr>
        <w:rFonts w:ascii="Wingdings" w:hAnsi="Wingdings" w:hint="default"/>
      </w:rPr>
    </w:lvl>
  </w:abstractNum>
  <w:abstractNum w:abstractNumId="8" w15:restartNumberingAfterBreak="0">
    <w:nsid w:val="760A2AC4"/>
    <w:multiLevelType w:val="hybridMultilevel"/>
    <w:tmpl w:val="957C2D5C"/>
    <w:lvl w:ilvl="0" w:tplc="1368C7B6">
      <w:start w:val="1"/>
      <w:numFmt w:val="bullet"/>
      <w:lvlText w:val=""/>
      <w:lvlJc w:val="left"/>
      <w:pPr>
        <w:ind w:left="720" w:hanging="360"/>
      </w:pPr>
      <w:rPr>
        <w:rFonts w:ascii="Wingdings" w:hAnsi="Wingdings" w:hint="default"/>
      </w:rPr>
    </w:lvl>
    <w:lvl w:ilvl="1" w:tplc="27F672DE" w:tentative="1">
      <w:start w:val="1"/>
      <w:numFmt w:val="bullet"/>
      <w:lvlText w:val="o"/>
      <w:lvlJc w:val="left"/>
      <w:pPr>
        <w:ind w:left="1440" w:hanging="360"/>
      </w:pPr>
      <w:rPr>
        <w:rFonts w:ascii="Courier New" w:hAnsi="Courier New" w:cs="Courier New" w:hint="default"/>
      </w:rPr>
    </w:lvl>
    <w:lvl w:ilvl="2" w:tplc="22D22C22" w:tentative="1">
      <w:start w:val="1"/>
      <w:numFmt w:val="bullet"/>
      <w:lvlText w:val=""/>
      <w:lvlJc w:val="left"/>
      <w:pPr>
        <w:ind w:left="2160" w:hanging="360"/>
      </w:pPr>
      <w:rPr>
        <w:rFonts w:ascii="Wingdings" w:hAnsi="Wingdings" w:hint="default"/>
      </w:rPr>
    </w:lvl>
    <w:lvl w:ilvl="3" w:tplc="8F924D9A" w:tentative="1">
      <w:start w:val="1"/>
      <w:numFmt w:val="bullet"/>
      <w:lvlText w:val=""/>
      <w:lvlJc w:val="left"/>
      <w:pPr>
        <w:ind w:left="2880" w:hanging="360"/>
      </w:pPr>
      <w:rPr>
        <w:rFonts w:ascii="Symbol" w:hAnsi="Symbol" w:hint="default"/>
      </w:rPr>
    </w:lvl>
    <w:lvl w:ilvl="4" w:tplc="96A48232" w:tentative="1">
      <w:start w:val="1"/>
      <w:numFmt w:val="bullet"/>
      <w:lvlText w:val="o"/>
      <w:lvlJc w:val="left"/>
      <w:pPr>
        <w:ind w:left="3600" w:hanging="360"/>
      </w:pPr>
      <w:rPr>
        <w:rFonts w:ascii="Courier New" w:hAnsi="Courier New" w:cs="Courier New" w:hint="default"/>
      </w:rPr>
    </w:lvl>
    <w:lvl w:ilvl="5" w:tplc="2976E2FE" w:tentative="1">
      <w:start w:val="1"/>
      <w:numFmt w:val="bullet"/>
      <w:lvlText w:val=""/>
      <w:lvlJc w:val="left"/>
      <w:pPr>
        <w:ind w:left="4320" w:hanging="360"/>
      </w:pPr>
      <w:rPr>
        <w:rFonts w:ascii="Wingdings" w:hAnsi="Wingdings" w:hint="default"/>
      </w:rPr>
    </w:lvl>
    <w:lvl w:ilvl="6" w:tplc="D7EC0032" w:tentative="1">
      <w:start w:val="1"/>
      <w:numFmt w:val="bullet"/>
      <w:lvlText w:val=""/>
      <w:lvlJc w:val="left"/>
      <w:pPr>
        <w:ind w:left="5040" w:hanging="360"/>
      </w:pPr>
      <w:rPr>
        <w:rFonts w:ascii="Symbol" w:hAnsi="Symbol" w:hint="default"/>
      </w:rPr>
    </w:lvl>
    <w:lvl w:ilvl="7" w:tplc="EC181820" w:tentative="1">
      <w:start w:val="1"/>
      <w:numFmt w:val="bullet"/>
      <w:lvlText w:val="o"/>
      <w:lvlJc w:val="left"/>
      <w:pPr>
        <w:ind w:left="5760" w:hanging="360"/>
      </w:pPr>
      <w:rPr>
        <w:rFonts w:ascii="Courier New" w:hAnsi="Courier New" w:cs="Courier New" w:hint="default"/>
      </w:rPr>
    </w:lvl>
    <w:lvl w:ilvl="8" w:tplc="0444DDB0"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44"/>
    <w:rsid w:val="000662AB"/>
    <w:rsid w:val="00070B41"/>
    <w:rsid w:val="00093443"/>
    <w:rsid w:val="000B0BCE"/>
    <w:rsid w:val="000B2BB0"/>
    <w:rsid w:val="000B4C0D"/>
    <w:rsid w:val="000C6A3C"/>
    <w:rsid w:val="000C7BFC"/>
    <w:rsid w:val="000E1602"/>
    <w:rsid w:val="00113EBE"/>
    <w:rsid w:val="0012465C"/>
    <w:rsid w:val="0012749C"/>
    <w:rsid w:val="00153C53"/>
    <w:rsid w:val="001562D2"/>
    <w:rsid w:val="0016179E"/>
    <w:rsid w:val="001A5E45"/>
    <w:rsid w:val="001C25A7"/>
    <w:rsid w:val="001C79ED"/>
    <w:rsid w:val="0021048B"/>
    <w:rsid w:val="00232611"/>
    <w:rsid w:val="002E114E"/>
    <w:rsid w:val="002E20DC"/>
    <w:rsid w:val="002F4D65"/>
    <w:rsid w:val="00354AFD"/>
    <w:rsid w:val="003C2B04"/>
    <w:rsid w:val="00423903"/>
    <w:rsid w:val="00446370"/>
    <w:rsid w:val="00452434"/>
    <w:rsid w:val="00453F63"/>
    <w:rsid w:val="004D5C74"/>
    <w:rsid w:val="00521065"/>
    <w:rsid w:val="00526174"/>
    <w:rsid w:val="0052642D"/>
    <w:rsid w:val="00560EF9"/>
    <w:rsid w:val="00567E50"/>
    <w:rsid w:val="00585A6E"/>
    <w:rsid w:val="00585B84"/>
    <w:rsid w:val="005E1331"/>
    <w:rsid w:val="005E647D"/>
    <w:rsid w:val="005F1479"/>
    <w:rsid w:val="005F2A0F"/>
    <w:rsid w:val="00602946"/>
    <w:rsid w:val="00682FCD"/>
    <w:rsid w:val="006835CD"/>
    <w:rsid w:val="006A5AF2"/>
    <w:rsid w:val="006D2BCE"/>
    <w:rsid w:val="006E5551"/>
    <w:rsid w:val="00701C1C"/>
    <w:rsid w:val="00725F62"/>
    <w:rsid w:val="00777227"/>
    <w:rsid w:val="00777B8F"/>
    <w:rsid w:val="0078004D"/>
    <w:rsid w:val="00785724"/>
    <w:rsid w:val="00814C9D"/>
    <w:rsid w:val="00816A1F"/>
    <w:rsid w:val="00826A59"/>
    <w:rsid w:val="00884268"/>
    <w:rsid w:val="008D546F"/>
    <w:rsid w:val="008D72F9"/>
    <w:rsid w:val="009753DE"/>
    <w:rsid w:val="009817B6"/>
    <w:rsid w:val="009B21B0"/>
    <w:rsid w:val="009E6844"/>
    <w:rsid w:val="00A0462D"/>
    <w:rsid w:val="00A7763D"/>
    <w:rsid w:val="00AE47A0"/>
    <w:rsid w:val="00AE6BED"/>
    <w:rsid w:val="00B21DDB"/>
    <w:rsid w:val="00B366A5"/>
    <w:rsid w:val="00B42AF3"/>
    <w:rsid w:val="00B9397C"/>
    <w:rsid w:val="00BE7547"/>
    <w:rsid w:val="00C223C8"/>
    <w:rsid w:val="00C251E8"/>
    <w:rsid w:val="00C25EA9"/>
    <w:rsid w:val="00C34B3A"/>
    <w:rsid w:val="00C54B57"/>
    <w:rsid w:val="00C5574E"/>
    <w:rsid w:val="00C5796C"/>
    <w:rsid w:val="00CB238A"/>
    <w:rsid w:val="00CB4C96"/>
    <w:rsid w:val="00CB6A36"/>
    <w:rsid w:val="00CD37CE"/>
    <w:rsid w:val="00CD3BC4"/>
    <w:rsid w:val="00CE4E13"/>
    <w:rsid w:val="00CE539D"/>
    <w:rsid w:val="00D13784"/>
    <w:rsid w:val="00D14144"/>
    <w:rsid w:val="00D579A4"/>
    <w:rsid w:val="00D731AB"/>
    <w:rsid w:val="00DA3225"/>
    <w:rsid w:val="00DF3B8B"/>
    <w:rsid w:val="00E0071C"/>
    <w:rsid w:val="00E05153"/>
    <w:rsid w:val="00E862D7"/>
    <w:rsid w:val="00EB29AA"/>
    <w:rsid w:val="00F45BB6"/>
    <w:rsid w:val="00F87D7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3119"/>
  <w15:chartTrackingRefBased/>
  <w15:docId w15:val="{85B0DC01-F102-4072-AE6E-CED83DD4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798A"/>
    <w:rPr>
      <w:sz w:val="16"/>
      <w:szCs w:val="16"/>
    </w:rPr>
  </w:style>
  <w:style w:type="paragraph" w:styleId="CommentText">
    <w:name w:val="annotation text"/>
    <w:basedOn w:val="Normal"/>
    <w:link w:val="CommentTextChar"/>
    <w:uiPriority w:val="99"/>
    <w:semiHidden/>
    <w:unhideWhenUsed/>
    <w:rsid w:val="000D798A"/>
    <w:pPr>
      <w:spacing w:line="240" w:lineRule="auto"/>
    </w:pPr>
    <w:rPr>
      <w:sz w:val="20"/>
      <w:szCs w:val="20"/>
    </w:rPr>
  </w:style>
  <w:style w:type="character" w:customStyle="1" w:styleId="CommentTextChar">
    <w:name w:val="Comment Text Char"/>
    <w:basedOn w:val="DefaultParagraphFont"/>
    <w:link w:val="CommentText"/>
    <w:uiPriority w:val="99"/>
    <w:semiHidden/>
    <w:rsid w:val="000D798A"/>
    <w:rPr>
      <w:sz w:val="20"/>
      <w:szCs w:val="20"/>
    </w:rPr>
  </w:style>
  <w:style w:type="paragraph" w:styleId="CommentSubject">
    <w:name w:val="annotation subject"/>
    <w:basedOn w:val="CommentText"/>
    <w:next w:val="CommentText"/>
    <w:link w:val="CommentSubjectChar"/>
    <w:uiPriority w:val="99"/>
    <w:semiHidden/>
    <w:unhideWhenUsed/>
    <w:rsid w:val="000D798A"/>
    <w:rPr>
      <w:b/>
      <w:bCs/>
    </w:rPr>
  </w:style>
  <w:style w:type="character" w:customStyle="1" w:styleId="CommentSubjectChar">
    <w:name w:val="Comment Subject Char"/>
    <w:basedOn w:val="CommentTextChar"/>
    <w:link w:val="CommentSubject"/>
    <w:uiPriority w:val="99"/>
    <w:semiHidden/>
    <w:rsid w:val="000D798A"/>
    <w:rPr>
      <w:b/>
      <w:bCs/>
      <w:sz w:val="20"/>
      <w:szCs w:val="20"/>
    </w:rPr>
  </w:style>
  <w:style w:type="paragraph" w:styleId="Header">
    <w:name w:val="header"/>
    <w:basedOn w:val="Normal"/>
    <w:link w:val="HeaderChar"/>
    <w:uiPriority w:val="99"/>
    <w:unhideWhenUsed/>
    <w:rsid w:val="005904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04D4"/>
  </w:style>
  <w:style w:type="paragraph" w:styleId="Footer">
    <w:name w:val="footer"/>
    <w:basedOn w:val="Normal"/>
    <w:link w:val="FooterChar"/>
    <w:uiPriority w:val="99"/>
    <w:unhideWhenUsed/>
    <w:rsid w:val="005904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04D4"/>
  </w:style>
  <w:style w:type="character" w:customStyle="1" w:styleId="Mentionnonrsolue1">
    <w:name w:val="Mention non résolue1"/>
    <w:basedOn w:val="DefaultParagraphFont"/>
    <w:uiPriority w:val="99"/>
    <w:unhideWhenUsed/>
    <w:rsid w:val="00F1783A"/>
    <w:rPr>
      <w:color w:val="605E5C"/>
      <w:shd w:val="clear" w:color="auto" w:fill="E1DFDD"/>
    </w:rPr>
  </w:style>
  <w:style w:type="character" w:customStyle="1" w:styleId="Mention1">
    <w:name w:val="Mention1"/>
    <w:basedOn w:val="DefaultParagraphFont"/>
    <w:uiPriority w:val="99"/>
    <w:unhideWhenUsed/>
    <w:rsid w:val="00F1783A"/>
    <w:rPr>
      <w:color w:val="2B579A"/>
      <w:shd w:val="clear" w:color="auto" w:fill="E1DFDD"/>
    </w:rPr>
  </w:style>
  <w:style w:type="paragraph" w:styleId="Revision">
    <w:name w:val="Revision"/>
    <w:hidden/>
    <w:uiPriority w:val="99"/>
    <w:semiHidden/>
    <w:rsid w:val="00D45AE8"/>
    <w:pPr>
      <w:spacing w:after="0" w:line="240" w:lineRule="auto"/>
    </w:pPr>
  </w:style>
  <w:style w:type="paragraph" w:styleId="BalloonText">
    <w:name w:val="Balloon Text"/>
    <w:basedOn w:val="Normal"/>
    <w:link w:val="BalloonTextChar"/>
    <w:uiPriority w:val="99"/>
    <w:semiHidden/>
    <w:unhideWhenUsed/>
    <w:rsid w:val="00E035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3592"/>
    <w:rPr>
      <w:rFonts w:ascii="Times New Roman" w:hAnsi="Times New Roman" w:cs="Times New Roman"/>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13882"/>
    <w:rPr>
      <w:color w:val="0563C1" w:themeColor="hyperlink"/>
      <w:u w:val="single"/>
    </w:rPr>
  </w:style>
  <w:style w:type="character" w:styleId="FollowedHyperlink">
    <w:name w:val="FollowedHyperlink"/>
    <w:basedOn w:val="DefaultParagraphFont"/>
    <w:uiPriority w:val="99"/>
    <w:semiHidden/>
    <w:unhideWhenUsed/>
    <w:rsid w:val="00E274FE"/>
    <w:rPr>
      <w:color w:val="954F72" w:themeColor="followedHyperlink"/>
      <w:u w:val="single"/>
    </w:rPr>
  </w:style>
  <w:style w:type="paragraph" w:styleId="EndnoteText">
    <w:name w:val="endnote text"/>
    <w:basedOn w:val="Normal"/>
    <w:link w:val="EndnoteTextChar"/>
    <w:uiPriority w:val="99"/>
    <w:semiHidden/>
    <w:unhideWhenUsed/>
    <w:rsid w:val="00303C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3C5C"/>
    <w:rPr>
      <w:sz w:val="20"/>
      <w:szCs w:val="20"/>
    </w:rPr>
  </w:style>
  <w:style w:type="character" w:styleId="EndnoteReference">
    <w:name w:val="endnote reference"/>
    <w:basedOn w:val="DefaultParagraphFont"/>
    <w:uiPriority w:val="99"/>
    <w:semiHidden/>
    <w:unhideWhenUsed/>
    <w:rsid w:val="00303C5C"/>
    <w:rPr>
      <w:vertAlign w:val="superscript"/>
    </w:rPr>
  </w:style>
  <w:style w:type="character" w:styleId="UnresolvedMention">
    <w:name w:val="Unresolved Mention"/>
    <w:basedOn w:val="DefaultParagraphFont"/>
    <w:uiPriority w:val="99"/>
    <w:rsid w:val="006E5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hf.ca/fr/digestive-disorders/maladie-de-crohn/bibliotheque-sur-les-produits-biosimilaires-de-la-fcsd/" TargetMode="External"/><Relationship Id="rId18" Type="http://schemas.openxmlformats.org/officeDocument/2006/relationships/hyperlink" Target="https://www.centerforbiosimilars.com/view/alberta-sees-early-success-from-switching-patients-to-biosimilars" TargetMode="External"/><Relationship Id="rId26" Type="http://schemas.openxmlformats.org/officeDocument/2006/relationships/hyperlink" Target="https://youtu.be/TxGJTIiB9dM" TargetMode="External"/><Relationship Id="rId3" Type="http://schemas.openxmlformats.org/officeDocument/2006/relationships/customXml" Target="../customXml/item3.xml"/><Relationship Id="rId21" Type="http://schemas.openxmlformats.org/officeDocument/2006/relationships/hyperlink" Target="https://www.benefitscanada.com/benefits/health-benefits/webinar-coverage-switching-to-biosimilars-can-generate-savings-say-early-adopter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anadianbiosimilarsforum.ca/aboutbiosimilars" TargetMode="External"/><Relationship Id="rId17" Type="http://schemas.openxmlformats.org/officeDocument/2006/relationships/hyperlink" Target="https://onlinelibrary-wiley-com.eu1.proxy.openathens.net/doi/epdf/10.1002/pds.5008" TargetMode="External"/><Relationship Id="rId25" Type="http://schemas.openxmlformats.org/officeDocument/2006/relationships/hyperlink" Target="https://www.youtube.com/watch?v=gRgwW2WftIA"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2.gov.bc.ca/gov/content/health/practitioner-professional-resources/pharmacare/prescribers/biosimilars-initiative-prescribers" TargetMode="External"/><Relationship Id="rId20" Type="http://schemas.openxmlformats.org/officeDocument/2006/relationships/hyperlink" Target="https://www.benefitscanada.com/benefits/health-benefits/webinar-coverage-switching-to-biosimilars-can-generate-savings-say-early-adopte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health-canada/services/drugs-health-products/biologics-radiopharmaceuticals-genetic-therapies/applications-submissions/guidance-documents/fact-sheet-biosimilars.html" TargetMode="External"/><Relationship Id="rId24" Type="http://schemas.openxmlformats.org/officeDocument/2006/relationships/hyperlink" Target="https://jointhealth.org/pdfs/BiosimilarsinCanada_Infographic_APRIL2021_Fr.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biosim.jointhealth.org/fr" TargetMode="External"/><Relationship Id="rId23" Type="http://schemas.openxmlformats.org/officeDocument/2006/relationships/hyperlink" Target="https://youtu.be/Vd58GNC-WkM" TargetMode="External"/><Relationship Id="rId28" Type="http://schemas.openxmlformats.org/officeDocument/2006/relationships/hyperlink" Target="https://youtu.be/OSC0Oev-g3I"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rtualsymposium.cadth.ca/wp-content/uploads/2020/07/Poster_1895.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hrite.ca/traitement/medicaments/medicaments-biologiques-et-biosimilaires/biosimilaires/que-sont-les-biosimilaires" TargetMode="External"/><Relationship Id="rId22" Type="http://schemas.openxmlformats.org/officeDocument/2006/relationships/hyperlink" Target="https://virtualsymposium.cadth.ca/wp-content/uploads/2020/07/Poster_1895.pdf" TargetMode="External"/><Relationship Id="rId27" Type="http://schemas.openxmlformats.org/officeDocument/2006/relationships/hyperlink" Target="https://cdhf.ca/fr/digestive-disorders/maladie-de-crohn/bibliotheque-sur-les-produits-biosimilaires-de-la-fcsd/"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2.gov.bc.ca/gov/content/health/practitioner-professional-resources/pharmacare/prescribers/biosimilars-initiative-prescribers" TargetMode="External"/><Relationship Id="rId13" Type="http://schemas.openxmlformats.org/officeDocument/2006/relationships/hyperlink" Target="http://www.pmprb-cepmb.gc.ca/CMFiles/NPDUIS/Potential_Savings_from_Biosimilars_in_Canada_Biosimilar_Workshop_e.pdf" TargetMode="External"/><Relationship Id="rId18" Type="http://schemas.openxmlformats.org/officeDocument/2006/relationships/hyperlink" Target="https://3xlbea253907ff1y7v6f5yyv-wpengine.netdna-ssl.com/wp-content/uploads/2021/04/CDHF-FrenchBiosimilarsTransitionBrochure.pdf" TargetMode="External"/><Relationship Id="rId3" Type="http://schemas.openxmlformats.org/officeDocument/2006/relationships/hyperlink" Target="https://cdhf.ca/fr/digestive-disorders/maladie-de-crohn/bibliotheque-sur-les-produits-biosimilaires-de-la-fcsd/" TargetMode="External"/><Relationship Id="rId7" Type="http://schemas.openxmlformats.org/officeDocument/2006/relationships/hyperlink" Target="file:///C:\Users\weicks\OneDrive%20-%20Pfizer\Biosimilars\Policy\Sustainability\PMPRB%202020%20biologics-part1-market-trends.pdf" TargetMode="External"/><Relationship Id="rId12" Type="http://schemas.openxmlformats.org/officeDocument/2006/relationships/hyperlink" Target="https://www.benefitscanada.com/benefits/health-benefits/webinar-coverage-switching-to-biosimilars-can-generate-savings-say-early-adopters/" TargetMode="External"/><Relationship Id="rId17" Type="http://schemas.openxmlformats.org/officeDocument/2006/relationships/hyperlink" Target="https://www.youtube.com/watch?v=Wr32YOtKPMs" TargetMode="External"/><Relationship Id="rId2" Type="http://schemas.openxmlformats.org/officeDocument/2006/relationships/hyperlink" Target="https://www.canadianbiosimilarsforum.ca/french-home" TargetMode="External"/><Relationship Id="rId16" Type="http://schemas.openxmlformats.org/officeDocument/2006/relationships/hyperlink" Target="https://youtu.be/gRgwW2WftIA" TargetMode="External"/><Relationship Id="rId1" Type="http://schemas.openxmlformats.org/officeDocument/2006/relationships/hyperlink" Target="https://www.canada.ca/fr/sante-canada/services/medicaments-produits-sante/produits-biologiques-radiopharmaceutiques-therapies-genetiques/information-demandes-presentations/lignes-directrices/fiche-renseignements-biosimilaires.html" TargetMode="External"/><Relationship Id="rId6" Type="http://schemas.openxmlformats.org/officeDocument/2006/relationships/hyperlink" Target="https://www.jdsupra.com/legalnews/update-on-biosimilars-in-canada-april-7703939/" TargetMode="External"/><Relationship Id="rId11" Type="http://schemas.openxmlformats.org/officeDocument/2006/relationships/hyperlink" Target="file:///C:\Users\jbernier\Downloads\Biosimilar%20transitioning:%20a%20Private%20Payor's%20Journey" TargetMode="External"/><Relationship Id="rId5" Type="http://schemas.openxmlformats.org/officeDocument/2006/relationships/hyperlink" Target="https://biosim.jointhealth.org/fr" TargetMode="External"/><Relationship Id="rId15" Type="http://schemas.openxmlformats.org/officeDocument/2006/relationships/hyperlink" Target="https://jointhealth.org/pdfs/BiosimilarsinCanada_Infographic_APRIL2021_Fr.pdf" TargetMode="External"/><Relationship Id="rId10" Type="http://schemas.openxmlformats.org/officeDocument/2006/relationships/hyperlink" Target="https://www.centerforbiosimilars.com/view/alberta-sees-early-success-from-switching-patients-to-biosimilars" TargetMode="External"/><Relationship Id="rId19" Type="http://schemas.openxmlformats.org/officeDocument/2006/relationships/hyperlink" Target="https://youtu.be/OSC0Oev-g3I" TargetMode="External"/><Relationship Id="rId4" Type="http://schemas.openxmlformats.org/officeDocument/2006/relationships/hyperlink" Target="https://arthrite.ca/traitement/medicaments/medicaments-biologiques-et-biosimilaires/biosimilaires/que-sont-les-biosimilaires" TargetMode="External"/><Relationship Id="rId9" Type="http://schemas.openxmlformats.org/officeDocument/2006/relationships/hyperlink" Target="https://onlinelibrary-wiley-com.eu1.proxy.openathens.net/doi/epdf/10.1002/pds.5008" TargetMode="External"/><Relationship Id="rId14" Type="http://schemas.openxmlformats.org/officeDocument/2006/relationships/hyperlink" Target="https://advisor.equitable.ca/advisor/en/news/responding-to-alberta-s-biosimilar-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D3A7B8E0E0B4F81979EB6C079389A" ma:contentTypeVersion="13" ma:contentTypeDescription="Create a new document." ma:contentTypeScope="" ma:versionID="36e376ac4ce46ae3c9fa148679a14d3c">
  <xsd:schema xmlns:xsd="http://www.w3.org/2001/XMLSchema" xmlns:xs="http://www.w3.org/2001/XMLSchema" xmlns:p="http://schemas.microsoft.com/office/2006/metadata/properties" xmlns:ns2="5215aa6d-fab3-4af9-b28a-fbedcfb2b0b2" xmlns:ns3="b9dcfa8f-3829-4cc7-84e7-cc56dab6b0eb" targetNamespace="http://schemas.microsoft.com/office/2006/metadata/properties" ma:root="true" ma:fieldsID="1cf9e9cf1a5d8c3b409d32290d0e0edd" ns2:_="" ns3:_="">
    <xsd:import namespace="5215aa6d-fab3-4af9-b28a-fbedcfb2b0b2"/>
    <xsd:import namespace="b9dcfa8f-3829-4cc7-84e7-cc56dab6b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5aa6d-fab3-4af9-b28a-fbedcfb2b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dcfa8f-3829-4cc7-84e7-cc56dab6b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9dcfa8f-3829-4cc7-84e7-cc56dab6b0eb">
      <UserInfo>
        <DisplayName>Gian Piero Paolitto</DisplayName>
        <AccountId>177</AccountId>
        <AccountType/>
      </UserInfo>
    </SharedWithUsers>
  </documentManagement>
</p:properties>
</file>

<file path=customXml/itemProps1.xml><?xml version="1.0" encoding="utf-8"?>
<ds:datastoreItem xmlns:ds="http://schemas.openxmlformats.org/officeDocument/2006/customXml" ds:itemID="{E6C86BDB-86EF-4732-9DCC-48E91B2AE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5aa6d-fab3-4af9-b28a-fbedcfb2b0b2"/>
    <ds:schemaRef ds:uri="b9dcfa8f-3829-4cc7-84e7-cc56dab6b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4B2D2-6EAB-46DA-8EA9-485BA7CC0219}">
  <ds:schemaRefs>
    <ds:schemaRef ds:uri="http://schemas.openxmlformats.org/officeDocument/2006/bibliography"/>
  </ds:schemaRefs>
</ds:datastoreItem>
</file>

<file path=customXml/itemProps3.xml><?xml version="1.0" encoding="utf-8"?>
<ds:datastoreItem xmlns:ds="http://schemas.openxmlformats.org/officeDocument/2006/customXml" ds:itemID="{E06ADEB3-8B88-423E-A236-91A3FEA8A2F0}">
  <ds:schemaRefs>
    <ds:schemaRef ds:uri="http://schemas.microsoft.com/sharepoint/v3/contenttype/forms"/>
  </ds:schemaRefs>
</ds:datastoreItem>
</file>

<file path=customXml/itemProps4.xml><?xml version="1.0" encoding="utf-8"?>
<ds:datastoreItem xmlns:ds="http://schemas.openxmlformats.org/officeDocument/2006/customXml" ds:itemID="{6B85DB08-593C-477E-9559-A8ACB4F7A100}">
  <ds:schemaRefs>
    <ds:schemaRef ds:uri="http://schemas.microsoft.com/office/2006/metadata/properties"/>
    <ds:schemaRef ds:uri="http://schemas.microsoft.com/office/infopath/2007/PartnerControls"/>
    <ds:schemaRef ds:uri="b9dcfa8f-3829-4cc7-84e7-cc56dab6b0eb"/>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1558</Words>
  <Characters>8881</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Piero Paolitto</dc:creator>
  <cp:lastModifiedBy>Weicker, Sean</cp:lastModifiedBy>
  <cp:revision>41</cp:revision>
  <dcterms:created xsi:type="dcterms:W3CDTF">2021-07-13T19:45:00Z</dcterms:created>
  <dcterms:modified xsi:type="dcterms:W3CDTF">2021-07-14T19:23:00Z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0x0101006ABD3A7B8E0E0B4F81979EB6C079389A</vt:lpwstr>
  </property>
</Properties>
</file>